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6525"/>
        <w:tblGridChange w:id="0">
          <w:tblGrid>
            <w:gridCol w:w="2520"/>
            <w:gridCol w:w="652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Idea mining from textual datasets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Adapting CRISP-DM for Idea Mining</w:t>
            </w:r>
            <w:r w:rsidDel="00000000" w:rsidR="00000000" w:rsidRPr="00000000">
              <w:rPr>
                <w:rFonts w:ascii="Times New Roman" w:cs="Times New Roman" w:eastAsia="Times New Roman" w:hAnsi="Times New Roman"/>
                <w:sz w:val="24"/>
                <w:szCs w:val="24"/>
                <w:rtl w:val="0"/>
              </w:rPr>
              <w:t xml:space="preserve"> proposed CRISP‑IM, a reusable variant of the CRISP‑DM data‑mining process tailored to “idea mining,” using dynamic topic modeling, unsupervised ML, and statistical analysis over scholarly articles to elicit trends and candidate ideas from large text corpora.</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Idea Mining from Internal Knowledge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treated an organization’s or community’s own textual data as an </w:t>
            </w:r>
            <w:r w:rsidDel="00000000" w:rsidR="00000000" w:rsidRPr="00000000">
              <w:rPr>
                <w:rFonts w:ascii="Times New Roman" w:cs="Times New Roman" w:eastAsia="Times New Roman" w:hAnsi="Times New Roman"/>
                <w:i w:val="1"/>
                <w:iCs w:val="1"/>
                <w:sz w:val="24"/>
                <w:szCs w:val="24"/>
                <w:rtl w:val="0"/>
              </w:rPr>
              <w:t xml:space="preserve">internal knowledge asset</w:t>
            </w:r>
            <w:r w:rsidDel="00000000" w:rsidR="00000000" w:rsidRPr="00000000">
              <w:rPr>
                <w:rFonts w:ascii="Times New Roman" w:cs="Times New Roman" w:eastAsia="Times New Roman" w:hAnsi="Times New Roman"/>
                <w:sz w:val="24"/>
                <w:szCs w:val="24"/>
                <w:rtl w:val="0"/>
              </w:rPr>
              <w:t xml:space="preserve"> and posed the explicit problem of turning that asset into candidate ideas via a standardized pipeline—essentially the same setup later systems adopt when mining internal document stores or knowledge bases for new research or product ideas.</w:t>
            </w:r>
            <w:r w:rsidDel="00000000" w:rsidR="00000000" w:rsidRPr="00000000">
              <w:rPr>
                <w:rtl w:val="0"/>
              </w:rPr>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6765"/>
        <w:tblGridChange w:id="0">
          <w:tblGrid>
            <w:gridCol w:w="2280"/>
            <w:gridCol w:w="676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Systematic framing of “idea mining” as machine-driven analytics on existing corpora</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“A Systematic Literature Review about Idea Mining: The Use of Machine‑Driven Analytics to Generate Ideas”</w:t>
            </w:r>
            <w:r w:rsidDel="00000000" w:rsidR="00000000" w:rsidRPr="00000000">
              <w:rPr>
                <w:rFonts w:ascii="Times New Roman" w:cs="Times New Roman" w:eastAsia="Times New Roman" w:hAnsi="Times New Roman"/>
                <w:sz w:val="24"/>
                <w:szCs w:val="24"/>
                <w:rtl w:val="0"/>
              </w:rPr>
              <w:t xml:space="preserve"> surveyed 71 studies where text mining, IR, ML, deep learning, NLP-based morphological analysis, network analysis, and bibliometrics are applied to digital sources like patents, publications, and social media to support idea generation.</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Idea Mining from Internal Knowledge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By consolidating “idea mining” as its own research area and explicitly asking what techniques and data sources best generate ideas from existing corpora, it framed a new problem: how to systematically exploit internal data (documents, logs, patent portfolios) as a mineable source of ideas, rather than treating ideation as purely human brainstorming.</w:t>
            </w:r>
            <w:r w:rsidDel="00000000" w:rsidR="00000000" w:rsidRPr="00000000">
              <w:rPr>
                <w:rtl w:val="0"/>
              </w:rPr>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6960"/>
        <w:tblGridChange w:id="0">
          <w:tblGrid>
            <w:gridCol w:w="2085"/>
            <w:gridCol w:w="696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Scholarly knowledge graphs as rich internal representations of a research field</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AI‑KG introduced a large, automatically generated knowledge graph of the AI research field with ~820k entities (tasks, methods, metrics, materials) and ~14M triples extracted from 333k AI papers; follow‑up work generalized the pipeline for scholarly KGs and released CS‑KG for computer science.</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Idea Mining from Internal Knowledge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These projects posed a new question: once a community’s literature is converted into an </w:t>
            </w:r>
            <w:r w:rsidDel="00000000" w:rsidR="00000000" w:rsidRPr="00000000">
              <w:rPr>
                <w:rFonts w:ascii="Times New Roman" w:cs="Times New Roman" w:eastAsia="Times New Roman" w:hAnsi="Times New Roman"/>
                <w:i w:val="1"/>
                <w:iCs w:val="1"/>
                <w:sz w:val="24"/>
                <w:szCs w:val="24"/>
                <w:rtl w:val="0"/>
              </w:rPr>
              <w:t xml:space="preserve">internal knowledge graph</w:t>
            </w:r>
            <w:r w:rsidDel="00000000" w:rsidR="00000000" w:rsidRPr="00000000">
              <w:rPr>
                <w:rFonts w:ascii="Times New Roman" w:cs="Times New Roman" w:eastAsia="Times New Roman" w:hAnsi="Times New Roman"/>
                <w:sz w:val="24"/>
                <w:szCs w:val="24"/>
                <w:rtl w:val="0"/>
              </w:rPr>
              <w:t xml:space="preserve"> designed to support analysis of research dynamics and decision‑making, how do we mine that graph for gaps, trends, and novel combinations that suggest new ideas? That is exactly the internal‑knowledge substrate later “idea mining” systems over research corpora build upon.</w:t>
            </w:r>
            <w:r w:rsidDel="00000000" w:rsidR="00000000" w:rsidRPr="00000000">
              <w:rPr>
                <w:rtl w:val="0"/>
              </w:rPr>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6855"/>
        <w:tblGridChange w:id="0">
          <w:tblGrid>
            <w:gridCol w:w="2190"/>
            <w:gridCol w:w="685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Knowledge-graph-based automatic hypothesis generation from literature</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T‑PAIR and related systems formulated automatic biomedical hypothesis generation as predicting future connections between scientific terms (genes, chemicals, diseases) in dynamic graphs built from biomedical publications, learning temporal node‑pair embeddings (and, in AGATHA’s case, graph‑mining + transformers) to propose new, implicit links not yet present in the literature.</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Idea Mining from Internal Knowledge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These works treated the literature-derived knowledge graph as a closed </w:t>
            </w:r>
            <w:r w:rsidDel="00000000" w:rsidR="00000000" w:rsidRPr="00000000">
              <w:rPr>
                <w:rFonts w:ascii="Times New Roman" w:cs="Times New Roman" w:eastAsia="Times New Roman" w:hAnsi="Times New Roman"/>
                <w:i w:val="1"/>
                <w:iCs w:val="1"/>
                <w:sz w:val="24"/>
                <w:szCs w:val="24"/>
                <w:rtl w:val="0"/>
              </w:rPr>
              <w:t xml:space="preserve">internal knowledge base</w:t>
            </w:r>
            <w:r w:rsidDel="00000000" w:rsidR="00000000" w:rsidRPr="00000000">
              <w:rPr>
                <w:rFonts w:ascii="Times New Roman" w:cs="Times New Roman" w:eastAsia="Times New Roman" w:hAnsi="Times New Roman"/>
                <w:sz w:val="24"/>
                <w:szCs w:val="24"/>
                <w:rtl w:val="0"/>
              </w:rPr>
              <w:t xml:space="preserve"> and asked which new edges correspond to plausible hypotheses, directly instantiating the problem of mining new ideas purely from internalized domain knowledge rather than from user prompts or external search.</w:t>
            </w:r>
            <w:r w:rsidDel="00000000" w:rsidR="00000000" w:rsidRPr="00000000">
              <w:rPr>
                <w:rtl w:val="0"/>
              </w:rPr>
            </w:r>
          </w:p>
        </w:tc>
      </w:tr>
    </w:tbl>
    <w:p w:rsidR="00000000" w:rsidDel="00000000" w:rsidP="00000000" w:rsidRDefault="00000000" w:rsidRPr="00000000" w14:paraId="00000028">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