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6750"/>
        <w:tblGridChange w:id="0">
          <w:tblGrid>
            <w:gridCol w:w="2295"/>
            <w:gridCol w:w="67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Defining </w:t>
            </w:r>
            <w:r w:rsidDel="00000000" w:rsidR="00000000" w:rsidRPr="00000000">
              <w:rPr>
                <w:rFonts w:ascii="Times New Roman" w:cs="Times New Roman" w:eastAsia="Times New Roman" w:hAnsi="Times New Roman"/>
                <w:i w:val="1"/>
                <w:iCs w:val="1"/>
                <w:sz w:val="24"/>
                <w:szCs w:val="24"/>
                <w:rtl w:val="0"/>
              </w:rPr>
              <w:t xml:space="preserve">atomic scientific claims</w:t>
            </w:r>
            <w:r w:rsidDel="00000000" w:rsidR="00000000" w:rsidRPr="00000000">
              <w:rPr>
                <w:rFonts w:ascii="Times New Roman" w:cs="Times New Roman" w:eastAsia="Times New Roman" w:hAnsi="Times New Roman"/>
                <w:sz w:val="24"/>
                <w:szCs w:val="24"/>
                <w:rtl w:val="0"/>
              </w:rPr>
              <w:t xml:space="preserve"> for verification</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“Fact or Fiction: Verifying Scientific Claims”</w:t>
            </w:r>
            <w:r w:rsidDel="00000000" w:rsidR="00000000" w:rsidRPr="00000000">
              <w:rPr>
                <w:rFonts w:ascii="Times New Roman" w:cs="Times New Roman" w:eastAsia="Times New Roman" w:hAnsi="Times New Roman"/>
                <w:sz w:val="24"/>
                <w:szCs w:val="24"/>
                <w:rtl w:val="0"/>
              </w:rPr>
              <w:t xml:space="preserve"> introduced the scientific claim verification task and the SciFact dataset: ~1.4k expert-written scientific claims paired with abstracts labeled as SUPPORTS/REFUTES plus sentence-level rationales. Crucially, it defines a </w:t>
            </w:r>
            <w:r w:rsidDel="00000000" w:rsidR="00000000" w:rsidRPr="00000000">
              <w:rPr>
                <w:rFonts w:ascii="Times New Roman" w:cs="Times New Roman" w:eastAsia="Times New Roman" w:hAnsi="Times New Roman"/>
                <w:i w:val="1"/>
                <w:iCs w:val="1"/>
                <w:sz w:val="24"/>
                <w:szCs w:val="24"/>
                <w:rtl w:val="0"/>
              </w:rPr>
              <w:t xml:space="preserve">scientific claim</w:t>
            </w:r>
            <w:r w:rsidDel="00000000" w:rsidR="00000000" w:rsidRPr="00000000">
              <w:rPr>
                <w:rFonts w:ascii="Times New Roman" w:cs="Times New Roman" w:eastAsia="Times New Roman" w:hAnsi="Times New Roman"/>
                <w:sz w:val="24"/>
                <w:szCs w:val="24"/>
                <w:rtl w:val="0"/>
              </w:rPr>
              <w:t xml:space="preserve"> as an atomic, verifiable statement about a scientific finding, derived from citation sentences and intended to be checkable from a single paper.</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Scientific Claim Formalization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By carving out “atomic scientific claims” as discrete units that models take as input, SciFact reframed scientific text as sets of individually addressable claims rather than undifferentiated prose. That immediately raises the next problem—</w:t>
            </w:r>
            <w:r w:rsidDel="00000000" w:rsidR="00000000" w:rsidRPr="00000000">
              <w:rPr>
                <w:rFonts w:ascii="Times New Roman" w:cs="Times New Roman" w:eastAsia="Times New Roman" w:hAnsi="Times New Roman"/>
                <w:i w:val="1"/>
                <w:iCs w:val="1"/>
                <w:sz w:val="24"/>
                <w:szCs w:val="24"/>
                <w:rtl w:val="0"/>
              </w:rPr>
              <w:t xml:space="preserve">how should these claims be represented for machines</w:t>
            </w:r>
            <w:r w:rsidDel="00000000" w:rsidR="00000000" w:rsidRPr="00000000">
              <w:rPr>
                <w:rFonts w:ascii="Times New Roman" w:cs="Times New Roman" w:eastAsia="Times New Roman" w:hAnsi="Times New Roman"/>
                <w:sz w:val="24"/>
                <w:szCs w:val="24"/>
                <w:rtl w:val="0"/>
              </w:rPr>
              <w:t xml:space="preserve">, beyond raw strings—paving the way for later work that formalizes claims into structured templates or logical forms.</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690"/>
        <w:tblGridChange w:id="0">
          <w:tblGrid>
            <w:gridCol w:w="2355"/>
            <w:gridCol w:w="66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Encoding trial results as structured ICO findings</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Evidence Inference 2.0 expanded a corpus of randomized controlled trial (RCT) reports annotated with ICO prompts—Intervention, Comparator, Outcome—plus a label indicating whether the intervention increased, decreased, or made no significant difference in the outcome, and an evidence rationale span in the article. Systems are tasked with, given an article and an ICO triple, inferring the reported effect direction and locating supporting evidence.</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Scientific Claim Formalization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operationalizes each trial’s core result as a structured tuple (I, C, O, effect-direction) rather than a free-text conclusion, explicitly asking for a machine-readable schema of the claim. That problem framing—“build a database of PICO/ICO findings from textual reports”—is an early, domain-specific instance of scientific claim formalization: representing claims as typed slots with logical polarity, not just as sentences.</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6765"/>
        <w:tblGridChange w:id="0">
          <w:tblGrid>
            <w:gridCol w:w="2280"/>
            <w:gridCol w:w="67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End-to-end clinical evidence extraction: entities and relations from trial reports</w:t>
            </w:r>
          </w:p>
        </w:tc>
      </w:tr>
      <w:tr>
        <w:trPr>
          <w:cantSplit w:val="0"/>
          <w:trHeight w:val="25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Nye et al.’s “</w:t>
            </w:r>
            <w:r w:rsidDel="00000000" w:rsidR="00000000" w:rsidRPr="00000000">
              <w:rPr>
                <w:rFonts w:ascii="Times New Roman" w:cs="Times New Roman" w:eastAsia="Times New Roman" w:hAnsi="Times New Roman"/>
                <w:i w:val="1"/>
                <w:iCs w:val="1"/>
                <w:sz w:val="24"/>
                <w:szCs w:val="24"/>
                <w:rtl w:val="0"/>
              </w:rPr>
              <w:t xml:space="preserve">Understanding Clinical Trial Reports: Extracting Medical Entities and Their Relations”</w:t>
            </w:r>
            <w:r w:rsidDel="00000000" w:rsidR="00000000" w:rsidRPr="00000000">
              <w:rPr>
                <w:rFonts w:ascii="Times New Roman" w:cs="Times New Roman" w:eastAsia="Times New Roman" w:hAnsi="Times New Roman"/>
                <w:sz w:val="24"/>
                <w:szCs w:val="24"/>
                <w:rtl w:val="0"/>
              </w:rPr>
              <w:t xml:space="preserve"> defined an end-to-end evidence extraction task: from full-text clinical trial abstracts, extract the trial’s clinical entities (participants, interventions, outcomes) and infer n-ary relations capturing the direction of effect (increase, decrease, no difference) for each intervention–outcome comparison. They explicitly describe the goal as obtaining a semantically meaningful structured representation of the evidence reported in RCT articles.</w:t>
            </w:r>
            <w:r w:rsidDel="00000000" w:rsidR="00000000" w:rsidRPr="00000000">
              <w:rPr>
                <w:rtl w:val="0"/>
              </w:rPr>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Scientific Claim Formalization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Cardo" w:cs="Cardo" w:eastAsia="Cardo" w:hAnsi="Cardo"/>
                <w:sz w:val="24"/>
                <w:szCs w:val="24"/>
                <w:rtl w:val="0"/>
              </w:rPr>
              <w:t xml:space="preserve">By insisting that useful interaction with the literature requires a structured representation of trial findings—not just mention extraction—this work recasts the main trial results as formalized claims built from entities and typed relations. That end-to-end “extract entities → link → infer structured findings” pipeline is a direct forerunner of broader scientific claim formalization efforts that aim to turn free-text results sections into machine-interpretable claim objects.</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6750"/>
        <w:tblGridChange w:id="0">
          <w:tblGrid>
            <w:gridCol w:w="2295"/>
            <w:gridCol w:w="67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Cross-disciplinary semantic template for high-level scientific claims</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Bucur et al.’s “</w:t>
            </w:r>
            <w:r w:rsidDel="00000000" w:rsidR="00000000" w:rsidRPr="00000000">
              <w:rPr>
                <w:rFonts w:ascii="Times New Roman" w:cs="Times New Roman" w:eastAsia="Times New Roman" w:hAnsi="Times New Roman"/>
                <w:i w:val="1"/>
                <w:iCs w:val="1"/>
                <w:sz w:val="24"/>
                <w:szCs w:val="24"/>
                <w:rtl w:val="0"/>
              </w:rPr>
              <w:t xml:space="preserve">Expressing High-Level Scientific Claims with Formal Semantics”</w:t>
            </w:r>
            <w:r w:rsidDel="00000000" w:rsidR="00000000" w:rsidRPr="00000000">
              <w:rPr>
                <w:rFonts w:ascii="Times New Roman" w:cs="Times New Roman" w:eastAsia="Times New Roman" w:hAnsi="Times New Roman"/>
                <w:sz w:val="24"/>
                <w:szCs w:val="24"/>
                <w:rtl w:val="0"/>
              </w:rPr>
              <w:t xml:space="preserve"> proposed the super-pattern, a five-slot semantic template (context, subject, qualifier, relation, object) for representing the content of high-level scientific claims as strictly defined higher-order logic statements. They showed that knowledge representation experts can reliably instantiate this template for diverse claims sampled across disciplines, demonstrating its cross-domain applicability.</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Scientific Claim Formalization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This paper directly formulates the new problem: can we design a general template that captures the logical structure of scientific claims across fields? It shifts attention from shallow metadata and entity links to the full semantics of claims, explicitly envisioning future systems that </w:t>
            </w:r>
            <w:r w:rsidDel="00000000" w:rsidR="00000000" w:rsidRPr="00000000">
              <w:rPr>
                <w:rFonts w:ascii="Times New Roman" w:cs="Times New Roman" w:eastAsia="Times New Roman" w:hAnsi="Times New Roman"/>
                <w:i w:val="1"/>
                <w:iCs w:val="1"/>
                <w:sz w:val="24"/>
                <w:szCs w:val="24"/>
                <w:rtl w:val="0"/>
              </w:rPr>
              <w:t xml:space="preserve">automatically</w:t>
            </w:r>
            <w:r w:rsidDel="00000000" w:rsidR="00000000" w:rsidRPr="00000000">
              <w:rPr>
                <w:rFonts w:ascii="Times New Roman" w:cs="Times New Roman" w:eastAsia="Times New Roman" w:hAnsi="Times New Roman"/>
                <w:sz w:val="24"/>
                <w:szCs w:val="24"/>
                <w:rtl w:val="0"/>
              </w:rPr>
              <w:t xml:space="preserve"> generate super-pattern instances from scientific text—exactly the core ambition of scientific claim formalization.</w:t>
            </w:r>
            <w:r w:rsidDel="00000000" w:rsidR="00000000" w:rsidRPr="00000000">
              <w:rPr>
                <w:rtl w:val="0"/>
              </w:rPr>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825"/>
        <w:tblGridChange w:id="0">
          <w:tblGrid>
            <w:gridCol w:w="2220"/>
            <w:gridCol w:w="682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Formalization papers &amp; semantic publishing: claims as nanopublications using the super-pattern</w:t>
            </w:r>
          </w:p>
        </w:tc>
      </w:tr>
      <w:tr>
        <w:trPr>
          <w:cantSplit w:val="0"/>
          <w:trHeight w:val="25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Data Science special issue on Semantic Publishing with Formalization of Scientific Claims showcased “formalization papers” where authors manually formalize the </w:t>
            </w:r>
            <w:r w:rsidDel="00000000" w:rsidR="00000000" w:rsidRPr="00000000">
              <w:rPr>
                <w:rFonts w:ascii="Times New Roman" w:cs="Times New Roman" w:eastAsia="Times New Roman" w:hAnsi="Times New Roman"/>
                <w:i w:val="1"/>
                <w:iCs w:val="1"/>
                <w:sz w:val="24"/>
                <w:szCs w:val="24"/>
                <w:rtl w:val="0"/>
              </w:rPr>
              <w:t xml:space="preserve">main claim</w:t>
            </w:r>
            <w:r w:rsidDel="00000000" w:rsidR="00000000" w:rsidRPr="00000000">
              <w:rPr>
                <w:rFonts w:ascii="Times New Roman" w:cs="Times New Roman" w:eastAsia="Times New Roman" w:hAnsi="Times New Roman"/>
                <w:sz w:val="24"/>
                <w:szCs w:val="24"/>
                <w:rtl w:val="0"/>
              </w:rPr>
              <w:t xml:space="preserve"> of an existing article using the super-pattern and publish it as a nanopublication—a small RDF graph with assertion, provenance, and publication info. Individual case studies (e.g., formalizing main claims of FAIR-guidelines or other landmark works) explicitly present the process of turning a textual claim into a logical structure via the super-pattern.</w:t>
            </w:r>
            <w:r w:rsidDel="00000000" w:rsidR="00000000" w:rsidRPr="00000000">
              <w:rPr>
                <w:rtl w:val="0"/>
              </w:rPr>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Scientific Claim Formalization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These formalization papers move from “can we, in principle, encode claims in logic?” to “we will actually publish claims in a formalized, machine-interpretable format”, creating a new scholarly artifact type. Once the publication workflow assumes formalized claims, the key open problem becomes scaling and automating that formalization from natural language—essentially defining the modern mainframe topic of scientific claim formalization.</w:t>
            </w:r>
            <w:r w:rsidDel="00000000" w:rsidR="00000000" w:rsidRPr="00000000">
              <w:rPr>
                <w:rtl w:val="0"/>
              </w:rPr>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7020"/>
        <w:tblGridChange w:id="0">
          <w:tblGrid>
            <w:gridCol w:w="2025"/>
            <w:gridCol w:w="702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Recasting research questions as structured P–I–C–O templates across disciplines</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Nishikawa-Pacher’s “</w:t>
            </w:r>
            <w:r w:rsidDel="00000000" w:rsidR="00000000" w:rsidRPr="00000000">
              <w:rPr>
                <w:rFonts w:ascii="Times New Roman" w:cs="Times New Roman" w:eastAsia="Times New Roman" w:hAnsi="Times New Roman"/>
                <w:i w:val="1"/>
                <w:iCs w:val="1"/>
                <w:sz w:val="24"/>
                <w:szCs w:val="24"/>
                <w:rtl w:val="0"/>
              </w:rPr>
              <w:t xml:space="preserve">Research Questions with PICO: A Universal Mnemonic”</w:t>
            </w:r>
            <w:r w:rsidDel="00000000" w:rsidR="00000000" w:rsidRPr="00000000">
              <w:rPr>
                <w:rFonts w:ascii="Times New Roman" w:cs="Times New Roman" w:eastAsia="Times New Roman" w:hAnsi="Times New Roman"/>
                <w:sz w:val="24"/>
                <w:szCs w:val="24"/>
                <w:rtl w:val="0"/>
              </w:rPr>
              <w:t xml:space="preserve"> argued that the PICO framework—Problem/Population, Intervention, Comparator, Outcome—is not just for clinical trials but can universally structure research questions in any discipline and study design. The paper demonstrates how heterogeneous research questions from multiple fields can be rewritten into PICO-shaped templates, aligning them with a small set of abstract components (research object, method/theory, hypothesis, knowledge goal).</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Scientific Claim Formalization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By generalizing PICO beyond medicine, this work implicitly claims that a huge fraction of scientific statements can be cast into a fixed slot structure (problem/intervention/control/outcome). That opens a new problem space: if most scientific claims can be mapped to such templates, how can we automatically detect and fill those slots from text, providing a simple but widely applicable formalization scheme for claims across the sciences.</w:t>
            </w:r>
            <w:r w:rsidDel="00000000" w:rsidR="00000000" w:rsidRPr="00000000">
              <w:rPr>
                <w:rtl w:val="0"/>
              </w:rPr>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