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Pre‑review aspect score prediction from paper text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Li et al. framed peer‑review aspect scores (clarity, originality, correctness, impact, etc.) as a multi‑task regression problem directly on the paper text, using CNN‑based models on PeerRead to predict the scores that reviewers would later assign, explicitly aiming to support reviewers and authors.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implicitly posed a new </w:t>
            </w:r>
            <w:r w:rsidDel="00000000" w:rsidR="00000000" w:rsidRPr="00000000">
              <w:rPr>
                <w:rFonts w:ascii="Times New Roman" w:cs="Times New Roman" w:eastAsia="Times New Roman" w:hAnsi="Times New Roman"/>
                <w:i w:val="1"/>
                <w:iCs w:val="1"/>
                <w:sz w:val="24"/>
                <w:szCs w:val="24"/>
                <w:rtl w:val="0"/>
              </w:rPr>
              <w:t xml:space="preserve">desk-review</w:t>
            </w:r>
            <w:r w:rsidDel="00000000" w:rsidR="00000000" w:rsidRPr="00000000">
              <w:rPr>
                <w:rFonts w:ascii="Times New Roman" w:cs="Times New Roman" w:eastAsia="Times New Roman" w:hAnsi="Times New Roman"/>
                <w:sz w:val="24"/>
                <w:szCs w:val="24"/>
                <w:rtl w:val="0"/>
              </w:rPr>
              <w:t xml:space="preserve"> question: </w:t>
            </w:r>
            <w:r w:rsidDel="00000000" w:rsidR="00000000" w:rsidRPr="00000000">
              <w:rPr>
                <w:rFonts w:ascii="Times New Roman" w:cs="Times New Roman" w:eastAsia="Times New Roman" w:hAnsi="Times New Roman"/>
                <w:i w:val="1"/>
                <w:iCs w:val="1"/>
                <w:sz w:val="24"/>
                <w:szCs w:val="24"/>
                <w:rtl w:val="0"/>
              </w:rPr>
              <w:t xml:space="preserve">“Given only the manuscript, can we forecast how reviewers will rate it along multiple dimensions before any review happens?”</w:t>
            </w:r>
            <w:r w:rsidDel="00000000" w:rsidR="00000000" w:rsidRPr="00000000">
              <w:rPr>
                <w:rFonts w:ascii="Times New Roman" w:cs="Times New Roman" w:eastAsia="Times New Roman" w:hAnsi="Times New Roman"/>
                <w:sz w:val="24"/>
                <w:szCs w:val="24"/>
                <w:rtl w:val="0"/>
              </w:rPr>
              <w:t xml:space="preserve"> That reframes early editorial triage as a structured prediction problem over latent review aspects, not as generic “paper quality scoring,” opening the door to automated desk‑screening systems that surface borderline or promising submissions for human attention.</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425"/>
        <w:tblGridChange w:id="0">
          <w:tblGrid>
            <w:gridCol w:w="1620"/>
            <w:gridCol w:w="74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Citation‑function–based technology‑assisted peer review</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Basuki &amp; Tsuchiya introduced Quality Assist, a technology‑assisted peer review system that predicts final review decision (accept/reject), a “good vs. poor” paper quality label, and review scores using only features extracted from the manuscript, especially structured citation‑function features from citing and non‑citing sentences plus reference metadata, trained on ICLR 2017–2020 submissions.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Quality Assist directly articulated the problem of fully automated paper triage without relying on review text, motivated by fairness and review‑burden reduction, and proposed explicit tasks for desk‑level decision support (good/poor quality prediction, decision prediction, score prediction). That effectively crystallized “automatic desk‑review from the manuscript alone” as a distinct problem space rather than a by‑product of generic document quality estimation.</w:t>
            </w: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395"/>
        <w:tblGridChange w:id="0">
          <w:tblGrid>
            <w:gridCol w:w="1650"/>
            <w:gridCol w:w="73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Uncertainty‑aware acceptance prediction from aggregated reviews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Stappen et al. built an uncertainty‑aware machine support tool for paper reviewing on the Interspeech 2019 submission corpus, training ALBERT and C‑RNN models over review texts to predict both binary acceptance and continuous reviewer scores, while explicitly modelling reviewer disagreement via soft labels and quantile regression to capture uncertainty in editorial decisions.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Beyond “predict accept/reject,” this work treated the editor’s job as making decisions under reviewer disagreement, asking: </w:t>
            </w:r>
            <w:r w:rsidDel="00000000" w:rsidR="00000000" w:rsidRPr="00000000">
              <w:rPr>
                <w:rFonts w:ascii="Times New Roman" w:cs="Times New Roman" w:eastAsia="Times New Roman" w:hAnsi="Times New Roman"/>
                <w:i w:val="1"/>
                <w:iCs w:val="1"/>
                <w:sz w:val="24"/>
                <w:szCs w:val="24"/>
                <w:rtl w:val="0"/>
              </w:rPr>
              <w:t xml:space="preserve">“Can a model aggregate multiple conflicting reviews and still provide calibrated decision support?”</w:t>
            </w:r>
            <w:r w:rsidDel="00000000" w:rsidR="00000000" w:rsidRPr="00000000">
              <w:rPr>
                <w:rFonts w:ascii="Times New Roman" w:cs="Times New Roman" w:eastAsia="Times New Roman" w:hAnsi="Times New Roman"/>
                <w:sz w:val="24"/>
                <w:szCs w:val="24"/>
                <w:rtl w:val="0"/>
              </w:rPr>
              <w:t xml:space="preserve"> That introduced a new problem framing for desk‑review: not just classification, but uncertainty‑aware editorial triage that mirrors human meta‑decision‑making over noisy reviewer signals.</w:t>
            </w:r>
            <w:r w:rsidDel="00000000" w:rsidR="00000000" w:rsidRPr="00000000">
              <w:rPr>
                <w:rtl w:val="0"/>
              </w:rPr>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395"/>
        <w:tblGridChange w:id="0">
          <w:tblGrid>
            <w:gridCol w:w="1650"/>
            <w:gridCol w:w="73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Knowledge‑graph–based automatic review generation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Wang et al. proposed ReviewRobot, which constructs knowledge graphs from (i) the target paper, (ii) its cited works, and (iii) a large background corpus, compares these graphs, and then predicts review scores and generates template‑based, evidence‑backed comments for categories like novelty, meaningful comparison, appropriateness, and potential impact, explicitly positioning the system as an assistant for reviewers, program chairs, and authors.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ReviewRobot quietly defined a new problem: “generate an editor‑usable review (scores + justifications) from the manuscript and literature context.” Rather than just scoring papers, it targeted editor‑readable, explainable reviews as an output, foreshadowing desk‑review workflows where an AI reviewer produces a first‑pass, evidence‑linked report that editors can skim to decide whether a submission proceeds to full review.</w:t>
            </w:r>
            <w:r w:rsidDel="00000000" w:rsidR="00000000" w:rsidRPr="00000000">
              <w:rPr>
                <w:rtl w:val="0"/>
              </w:rPr>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440"/>
        <w:tblGridChange w:id="0">
          <w:tblGrid>
            <w:gridCol w:w="1605"/>
            <w:gridCol w:w="74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annotation of peer‑review texts for editorially relevant functions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Ghosal et al. released Peer Review Analyze, a benchmark built from ICLR 2018 reviews with ~1.2k reviews and ~17k sentences annotated along four layers: review‑paper section correspondence, paper aspect (e.g., novelty, clarity, substance), statement purpose (summary, criticism, suggestion, etc.), and statement significance (major/minor/general). They defined NLP tasks such as statement role prediction, significance detection, and meta‑review generation.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encoding which sentences matter for editorial decisions (significance layer) and how they relate to paper sections and aspects, this dataset reframed desk‑review as </w:t>
            </w:r>
            <w:r w:rsidDel="00000000" w:rsidR="00000000" w:rsidRPr="00000000">
              <w:rPr>
                <w:rFonts w:ascii="Times New Roman" w:cs="Times New Roman" w:eastAsia="Times New Roman" w:hAnsi="Times New Roman"/>
                <w:i w:val="1"/>
                <w:iCs w:val="1"/>
                <w:sz w:val="24"/>
                <w:szCs w:val="24"/>
                <w:rtl w:val="0"/>
              </w:rPr>
              <w:t xml:space="preserve">“identify and surface the small subset of review content that an editor should read.”</w:t>
            </w:r>
            <w:r w:rsidDel="00000000" w:rsidR="00000000" w:rsidRPr="00000000">
              <w:rPr>
                <w:rFonts w:ascii="Times New Roman" w:cs="Times New Roman" w:eastAsia="Times New Roman" w:hAnsi="Times New Roman"/>
                <w:sz w:val="24"/>
                <w:szCs w:val="24"/>
                <w:rtl w:val="0"/>
              </w:rPr>
              <w:t xml:space="preserve"> It shifted attention from generic sentiment/score prediction to fine‑grained, editor‑centric review understanding, a prerequisite for automated triage and meta‑review at the desk‑review stage.</w:t>
            </w:r>
            <w:r w:rsidDel="00000000" w:rsidR="00000000" w:rsidRPr="00000000">
              <w:rPr>
                <w:rtl w:val="0"/>
              </w:rPr>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80"/>
        <w:tblGridChange w:id="0">
          <w:tblGrid>
            <w:gridCol w:w="1665"/>
            <w:gridCol w:w="7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open peer‑review pipelines for editorial decision modelling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Lin et al. introduced MOPRD, a multidisciplinary open peer review dataset containing paper metadata, multiple manuscript versions, review comments, meta‑reviews, author rebuttals, and editorial decisions, spanning PeerJ journals across several scientific domains; they also proposed a modular guided review‑comment generation method and highlighted applications like editorial decision prediction and author‑rebuttal generation.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MOPRD reframed the problem from isolated “review text modeling” to full‑pipeline modelling of the editorial process, explicitly naming tasks such as editorial decision prediction and meta‑review generation as natural uses of the data. That effectively posited desk‑review as an end‑to‑end, learnable decision process over manuscripts, reviews, rebuttals, and meta‑reviews, rather than a black‑box human step between submission and acceptance.</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