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915"/>
        <w:tblGridChange w:id="0">
          <w:tblGrid>
            <w:gridCol w:w="2130"/>
            <w:gridCol w:w="69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Full‑text citation impact prediction for NLP papers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Around 2020, SChuBERT and related models treated </w:t>
            </w:r>
            <w:r w:rsidDel="00000000" w:rsidR="00000000" w:rsidRPr="00000000">
              <w:rPr>
                <w:rFonts w:ascii="Times New Roman" w:cs="Times New Roman" w:eastAsia="Times New Roman" w:hAnsi="Times New Roman"/>
                <w:i w:val="1"/>
                <w:iCs w:val="1"/>
                <w:sz w:val="24"/>
                <w:szCs w:val="24"/>
                <w:rtl w:val="0"/>
              </w:rPr>
              <w:t xml:space="preserve">future citation count</w:t>
            </w:r>
            <w:r w:rsidDel="00000000" w:rsidR="00000000" w:rsidRPr="00000000">
              <w:rPr>
                <w:rFonts w:ascii="Times New Roman" w:cs="Times New Roman" w:eastAsia="Times New Roman" w:hAnsi="Times New Roman"/>
                <w:sz w:val="24"/>
                <w:szCs w:val="24"/>
                <w:rtl w:val="0"/>
              </w:rPr>
              <w:t xml:space="preserve"> as an NLP regression task over long scholarly documents, chunking ACL Anthology papers and encoding them with BERT to predict how many citations each paper would later receive, using full text plus bibliometric metadata as input.</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Influence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reframed “influence” as something that could be </w:t>
            </w:r>
            <w:r w:rsidDel="00000000" w:rsidR="00000000" w:rsidRPr="00000000">
              <w:rPr>
                <w:rFonts w:ascii="Times New Roman" w:cs="Times New Roman" w:eastAsia="Times New Roman" w:hAnsi="Times New Roman"/>
                <w:i w:val="1"/>
                <w:iCs w:val="1"/>
                <w:sz w:val="24"/>
                <w:szCs w:val="24"/>
                <w:rtl w:val="0"/>
              </w:rPr>
              <w:t xml:space="preserve">predicted from the paper’s language and structure itself</w:t>
            </w:r>
            <w:r w:rsidDel="00000000" w:rsidR="00000000" w:rsidRPr="00000000">
              <w:rPr>
                <w:rFonts w:ascii="Times New Roman" w:cs="Times New Roman" w:eastAsia="Times New Roman" w:hAnsi="Times New Roman"/>
                <w:sz w:val="24"/>
                <w:szCs w:val="24"/>
                <w:rtl w:val="0"/>
              </w:rPr>
              <w:t xml:space="preserve">, not just measured ex post via citation counts, opening the Influence Analysis problem-space of modeling how textual and rhetorical features of research drive downstream impact.</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metadata–driven models of long‑term paper influence</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Deep models began encoding title, abstract, and keyword text together with early citations to predict long‑term citation counts, showing that semantic features extracted from short metadata text significantly improved impact prediction over purely numeric bibliometrics.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Influence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treating influence as a function of </w:t>
            </w:r>
            <w:r w:rsidDel="00000000" w:rsidR="00000000" w:rsidRPr="00000000">
              <w:rPr>
                <w:rFonts w:ascii="Times New Roman" w:cs="Times New Roman" w:eastAsia="Times New Roman" w:hAnsi="Times New Roman"/>
                <w:i w:val="1"/>
                <w:iCs w:val="1"/>
                <w:sz w:val="24"/>
                <w:szCs w:val="24"/>
                <w:rtl w:val="0"/>
              </w:rPr>
              <w:t xml:space="preserve">semantic content plus early signals</w:t>
            </w:r>
            <w:r w:rsidDel="00000000" w:rsidR="00000000" w:rsidRPr="00000000">
              <w:rPr>
                <w:rFonts w:ascii="Times New Roman" w:cs="Times New Roman" w:eastAsia="Times New Roman" w:hAnsi="Times New Roman"/>
                <w:sz w:val="24"/>
                <w:szCs w:val="24"/>
                <w:rtl w:val="0"/>
              </w:rPr>
              <w:t xml:space="preserve">, this work posed a new Influence Analysis question: how do specific topical and stylistic features in a paper’s metadata shape its future role in the literature, beyond author/venue prestige alone?</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915"/>
        <w:tblGridChange w:id="0">
          <w:tblGrid>
            <w:gridCol w:w="2130"/>
            <w:gridCol w:w="69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graph modeling of evolving citation trajectories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Longitudinal citation prediction with temporal graph neural networks introduced sequence citation prediction, modeling papers as nodes in a dynamic citation network and predicting the </w:t>
            </w:r>
            <w:r w:rsidDel="00000000" w:rsidR="00000000" w:rsidRPr="00000000">
              <w:rPr>
                <w:rFonts w:ascii="Times New Roman" w:cs="Times New Roman" w:eastAsia="Times New Roman" w:hAnsi="Times New Roman"/>
                <w:i w:val="1"/>
                <w:iCs w:val="1"/>
                <w:sz w:val="24"/>
                <w:szCs w:val="24"/>
                <w:rtl w:val="0"/>
              </w:rPr>
              <w:t xml:space="preserve">trajectory</w:t>
            </w:r>
            <w:r w:rsidDel="00000000" w:rsidR="00000000" w:rsidRPr="00000000">
              <w:rPr>
                <w:rFonts w:ascii="Times New Roman" w:cs="Times New Roman" w:eastAsia="Times New Roman" w:hAnsi="Times New Roman"/>
                <w:sz w:val="24"/>
                <w:szCs w:val="24"/>
                <w:rtl w:val="0"/>
              </w:rPr>
              <w:t xml:space="preserve"> of citations over time rather than a single future count, using both graph topology and temporal evolution.</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Influence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shifted the focus from static “how influential will this be?” to “how will this influence grow and spread over years and through the network?”, opening a richer Influence Analysis problem-space around temporal influence dynamics, early take‑off, and decay patterns for scientific ideas.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915"/>
        <w:tblGridChange w:id="0">
          <w:tblGrid>
            <w:gridCol w:w="2130"/>
            <w:gridCol w:w="69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Altmetric and online-attention signals as early proxies of scientific impact</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on early indicators of scientific impact showed that altmetrics and online attention (social media, news, policy mentions) can significantly predict later citation impact, even after controlling for journal and field effects, positioning these signals as quantitative precursors of long‑term scholarly influence.</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Influence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redefined Influence Analysis as multi‑signal forecasting—combining social attention, early citations, and textual features—rather than relying on citations alone, raising new problems about how different channels of attention interact to shape a paper’s eventual influence footprint.</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modeling of citation roles and sentiment for impact-aware metrics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meta‑analysis of semantic citation classification and follow‑up work on dynamic citation context extraction and citation polarity/purpose showed that NLP models can distinguish whether a citation is foundational use, background, critique, or neutral, and whether it is positive, negative, or neutral in sentiment, using SciBERT-style models over citation contexts.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Influence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demonstrating that </w:t>
            </w:r>
            <w:r w:rsidDel="00000000" w:rsidR="00000000" w:rsidRPr="00000000">
              <w:rPr>
                <w:rFonts w:ascii="Times New Roman" w:cs="Times New Roman" w:eastAsia="Times New Roman" w:hAnsi="Times New Roman"/>
                <w:i w:val="1"/>
                <w:iCs w:val="1"/>
                <w:sz w:val="24"/>
                <w:szCs w:val="24"/>
                <w:rtl w:val="0"/>
              </w:rPr>
              <w:t xml:space="preserve">not all citations are endorsements</w:t>
            </w:r>
            <w:r w:rsidDel="00000000" w:rsidR="00000000" w:rsidRPr="00000000">
              <w:rPr>
                <w:rFonts w:ascii="Times New Roman" w:cs="Times New Roman" w:eastAsia="Times New Roman" w:hAnsi="Times New Roman"/>
                <w:sz w:val="24"/>
                <w:szCs w:val="24"/>
                <w:rtl w:val="0"/>
              </w:rPr>
              <w:t xml:space="preserve"> and that purpose/polarity can be automatically inferred, this line of work opened a new Influence Analysis problem: design impact measures that weight citations by how and why a work is cited, rather than treating every link in the citation graph as equal.</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Geography- and equity-aware analysis of influence in NLP citation networks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Citation Gaps in NLP Research” constructed a large ACL Anthology citation network and quantified disparities in publication and mean citation counts across countries and regions, showing that papers from the Global North rapidly accrue influence while work from many high‑diversity regions remains under‑cited even after controlling for venue and subfield.</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Influence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reframed influence as a distributional and fairness problem—who gets cited and recognized, not just how many citations exist overall—seeding an Influence Analysis space concerned with structural biases, regional under‑recognition, and how influence metrics might be corrected or redesigned to reflect equitable scientific contribution.</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