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lay summaries of research for non‑expert audiences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CL‑LaySumm shared task and follow‑up systems framed </w:t>
            </w:r>
            <w:r w:rsidDel="00000000" w:rsidR="00000000" w:rsidRPr="00000000">
              <w:rPr>
                <w:rFonts w:ascii="Times New Roman" w:cs="Times New Roman" w:eastAsia="Times New Roman" w:hAnsi="Times New Roman"/>
                <w:i w:val="1"/>
                <w:iCs w:val="1"/>
                <w:sz w:val="24"/>
                <w:szCs w:val="24"/>
                <w:rtl w:val="0"/>
              </w:rPr>
              <w:t xml:space="preserve">lay summarization</w:t>
            </w:r>
            <w:r w:rsidDel="00000000" w:rsidR="00000000" w:rsidRPr="00000000">
              <w:rPr>
                <w:rFonts w:ascii="Times New Roman" w:cs="Times New Roman" w:eastAsia="Times New Roman" w:hAnsi="Times New Roman"/>
                <w:sz w:val="24"/>
                <w:szCs w:val="24"/>
                <w:rtl w:val="0"/>
              </w:rPr>
              <w:t xml:space="preserve"> as: given a technical research article, generate a short, non‑technical summary for the general public, funders, or journalists, with dedicated corpora and BART/PEGASUS‑style baselines trained on author/journalist‑written lay summaries.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posed a new problem that goes beyond expert summarization: automatically produce the kind of brief, accessible blurbs that are used in press releases, journal highlights, or funding reports. That is exactly the content layer research groups and journals use to promote papers, so it directly anticipates tools whose primary purpose is to </w:t>
            </w:r>
            <w:r w:rsidDel="00000000" w:rsidR="00000000" w:rsidRPr="00000000">
              <w:rPr>
                <w:rFonts w:ascii="Times New Roman" w:cs="Times New Roman" w:eastAsia="Times New Roman" w:hAnsi="Times New Roman"/>
                <w:i w:val="1"/>
                <w:iCs w:val="1"/>
                <w:sz w:val="24"/>
                <w:szCs w:val="24"/>
                <w:rtl w:val="0"/>
              </w:rPr>
              <w:t xml:space="preserve">enhance the public-facing promotion</w:t>
            </w:r>
            <w:r w:rsidDel="00000000" w:rsidR="00000000" w:rsidRPr="00000000">
              <w:rPr>
                <w:rFonts w:ascii="Times New Roman" w:cs="Times New Roman" w:eastAsia="Times New Roman" w:hAnsi="Times New Roman"/>
                <w:sz w:val="24"/>
                <w:szCs w:val="24"/>
                <w:rtl w:val="0"/>
              </w:rPr>
              <w:t xml:space="preserve"> of scientific work.</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Long-form narrative explainers derived from full scientific articles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LongSumm shared task defined a setting where models must generate </w:t>
            </w:r>
            <w:r w:rsidDel="00000000" w:rsidR="00000000" w:rsidRPr="00000000">
              <w:rPr>
                <w:rFonts w:ascii="Times New Roman" w:cs="Times New Roman" w:eastAsia="Times New Roman" w:hAnsi="Times New Roman"/>
                <w:i w:val="1"/>
                <w:iCs w:val="1"/>
                <w:sz w:val="24"/>
                <w:szCs w:val="24"/>
                <w:rtl w:val="0"/>
              </w:rPr>
              <w:t xml:space="preserve">blog‑like, multi‑paragraph narratives</w:t>
            </w:r>
            <w:r w:rsidDel="00000000" w:rsidR="00000000" w:rsidRPr="00000000">
              <w:rPr>
                <w:rFonts w:ascii="Times New Roman" w:cs="Times New Roman" w:eastAsia="Times New Roman" w:hAnsi="Times New Roman"/>
                <w:sz w:val="24"/>
                <w:szCs w:val="24"/>
                <w:rtl w:val="0"/>
              </w:rPr>
              <w:t xml:space="preserve"> about a paper, using researcher‑written blog posts as reference summaries and benchmarking neural summarisation systems on this “extended” explainer style.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LongSumm effectively asked: “Can we auto‑write the blog post that usually accompanies a new paper?” That elevates promotional artifacts (blog explainers, lab write‑ups, newsletter pieces) to first‑class NLP targets, seeding today’s Promotion Enhancement systems that turn finished manuscripts into engaging narrative content for lab websites, blogs, and media pitches.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Domain-specific plain‑language summaries aimed at patients and practitioners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automated lay language summarization of biomedical systematic reviews (e.g., for Cochrane) formalized the task of translating highly technical medical evidence into patient‑oriented text, building parallel corpora of professional reviews and accompanying lay summaries and training neural models to generate the latter.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reframed outreach as: “for every specialised evidence review, there should be a patient‑facing version, and we might generate it automatically.” That’s a direct precursor to promotion‑focused tools that help researchers and institutions produce press‑ready, patient‑friendly summaries to broaden the reach and societal visibility of clinical and biomedical findings.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Readability‑controllable summarization for different audience segments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Readability‑controllable biomedical summarization introduced a new task and corpus where each article comes with both a technical summary and a plain‑language summary, and models are trained to generate either expert‑level or lay‑level output conditioned on a readability control signal, alongside new metrics for measuring readability gaps.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posed a distinct problem: adapt the same paper into multiple promotion-ready variants (for experts, practitioners, and the public) on demand. That is exactly what Promotion Enhancement systems now try to do—produce tailored abstracts, news copy, and social snippets tuned to different channels and audiences from a single underlying research artifact.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and characterizing scientific discourse in social media streams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SciTweets framework introduced definitions and an expert‑annotated dataset for </w:t>
            </w:r>
            <w:r w:rsidDel="00000000" w:rsidR="00000000" w:rsidRPr="00000000">
              <w:rPr>
                <w:rFonts w:ascii="Times New Roman" w:cs="Times New Roman" w:eastAsia="Times New Roman" w:hAnsi="Times New Roman"/>
                <w:i w:val="1"/>
                <w:iCs w:val="1"/>
                <w:sz w:val="24"/>
                <w:szCs w:val="24"/>
                <w:rtl w:val="0"/>
              </w:rPr>
              <w:t xml:space="preserve">scientific online discourse</w:t>
            </w:r>
            <w:r w:rsidDel="00000000" w:rsidR="00000000" w:rsidRPr="00000000">
              <w:rPr>
                <w:rFonts w:ascii="Times New Roman" w:cs="Times New Roman" w:eastAsia="Times New Roman" w:hAnsi="Times New Roman"/>
                <w:sz w:val="24"/>
                <w:szCs w:val="24"/>
                <w:rtl w:val="0"/>
              </w:rPr>
              <w:t xml:space="preserve"> on Twitter, distinguishing tweets that convey scientific claims, reference scientific resources, or merely talk about research contexts, and trained multi‑label classifiers (e.g., BERTweet) to detect these categories at scale.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operationalizing “science tweets” and their subtypes, SciTweets defined a new problem: identify and track where and how scientific work surfaces in social media. That is a foundational capability for Promotion Enhancement—systems that monitor, amplify, or strategically seed scientific messages in the right parts of the online discourse to maximise visibility and engagement.</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social-media and altmetric attention as optimizable visibility signals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Studies in medical and sports‑medicine venues analysed how article characteristics and dissemination choices (e.g., open access status, journal promotion, social media coverage) predict altmetric attention and sometimes later citations, using regression and related models; parallel primers for researchers highlighted altmetric aggregators (Altmetric.com, PlumX, etc.) as quantitative measures of online attention to articles.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tweets, news mentions, and other altmetric events as predictable and modelable outcomes of dissemination choices reframed promotion as an </w:t>
            </w:r>
            <w:r w:rsidDel="00000000" w:rsidR="00000000" w:rsidRPr="00000000">
              <w:rPr>
                <w:rFonts w:ascii="Times New Roman" w:cs="Times New Roman" w:eastAsia="Times New Roman" w:hAnsi="Times New Roman"/>
                <w:i w:val="1"/>
                <w:iCs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problem: “what can we change about access, messaging, and channels to increase attention?” That view underpins Promotion Enhancement systems that design or select outreach strategies (titles, summaries, social posts, OA choices) with the explicit goal of maximizing measurable visibility signals.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