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7350"/>
        <w:tblGridChange w:id="0">
          <w:tblGrid>
            <w:gridCol w:w="1695"/>
            <w:gridCol w:w="73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Emergent in‑context learning as evidence of a surprisingly strong pretraining prior</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Brown et al. showed with GPT‑3 that a purely pre‑trained autoregressive LM could solve a wide variety of NLP tasks in zero/one/few‑shot </w:t>
            </w:r>
            <w:r w:rsidDel="00000000" w:rsidR="00000000" w:rsidRPr="00000000">
              <w:rPr>
                <w:rFonts w:ascii="Times New Roman" w:cs="Times New Roman" w:eastAsia="Times New Roman" w:hAnsi="Times New Roman"/>
                <w:i w:val="1"/>
                <w:iCs w:val="1"/>
                <w:sz w:val="24"/>
                <w:szCs w:val="24"/>
                <w:rtl w:val="0"/>
              </w:rPr>
              <w:t xml:space="preserve">purely via prompts</w:t>
            </w:r>
            <w:r w:rsidDel="00000000" w:rsidR="00000000" w:rsidRPr="00000000">
              <w:rPr>
                <w:rFonts w:ascii="Times New Roman" w:cs="Times New Roman" w:eastAsia="Times New Roman" w:hAnsi="Times New Roman"/>
                <w:sz w:val="24"/>
                <w:szCs w:val="24"/>
                <w:rtl w:val="0"/>
              </w:rPr>
              <w:t xml:space="preserve">, with no gradient updates, often rivaling task‑specific fine‑tuning. In 2021, Schick &amp; Schütze demonstrated that similarly structured few‑shot behavior could be obtained with much smaller models by carefully crafting cloze‑style prompts and doing light adaptation, suggesting that the key was the </w:t>
            </w:r>
            <w:r w:rsidDel="00000000" w:rsidR="00000000" w:rsidRPr="00000000">
              <w:rPr>
                <w:rFonts w:ascii="Times New Roman" w:cs="Times New Roman" w:eastAsia="Times New Roman" w:hAnsi="Times New Roman"/>
                <w:i w:val="1"/>
                <w:iCs w:val="1"/>
                <w:sz w:val="24"/>
                <w:szCs w:val="24"/>
                <w:rtl w:val="0"/>
              </w:rPr>
              <w:t xml:space="preserve">structure</w:t>
            </w:r>
            <w:r w:rsidDel="00000000" w:rsidR="00000000" w:rsidRPr="00000000">
              <w:rPr>
                <w:rFonts w:ascii="Times New Roman" w:cs="Times New Roman" w:eastAsia="Times New Roman" w:hAnsi="Times New Roman"/>
                <w:sz w:val="24"/>
                <w:szCs w:val="24"/>
                <w:rtl w:val="0"/>
              </w:rPr>
              <w:t xml:space="preserve"> of the learned prior rather than just raw scale.</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Model Prior: Weak and Strong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surfaced a new </w:t>
            </w:r>
            <w:r w:rsidDel="00000000" w:rsidR="00000000" w:rsidRPr="00000000">
              <w:rPr>
                <w:rFonts w:ascii="Times New Roman" w:cs="Times New Roman" w:eastAsia="Times New Roman" w:hAnsi="Times New Roman"/>
                <w:i w:val="1"/>
                <w:iCs w:val="1"/>
                <w:sz w:val="24"/>
                <w:szCs w:val="24"/>
                <w:rtl w:val="0"/>
              </w:rPr>
              <w:t xml:space="preserve">problem</w:t>
            </w:r>
            <w:r w:rsidDel="00000000" w:rsidR="00000000" w:rsidRPr="00000000">
              <w:rPr>
                <w:rFonts w:ascii="Times New Roman" w:cs="Times New Roman" w:eastAsia="Times New Roman" w:hAnsi="Times New Roman"/>
                <w:sz w:val="24"/>
                <w:szCs w:val="24"/>
                <w:rtl w:val="0"/>
              </w:rPr>
              <w:t xml:space="preserve"> that hadn’t really been formulated before: what kind of prior does language‑model pretraining induce that lets the model behave like a meta‑learner just from context? Instead of seeing pretraining as a generic initialization, researchers now had to ask when that prior is “strong” enough to support in‑context learning (large GPT‑3‑style models) versus effectively “weak” and needing heavy post‑training, setting up today’s explicit discussions of strong vs weak model priors.</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7335"/>
        <w:tblGridChange w:id="0">
          <w:tblGrid>
            <w:gridCol w:w="1710"/>
            <w:gridCol w:w="733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Latent‑variable analyses that explicitly treat pretraining as a probabilistic prior and adaptation as inference</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 Xie &amp; Ma proposed a theoretical framework where text is generated by a latent‑variable model (e.g., an HMM with memory), pretraining learns to approximate the posterior over latent states, and downstream tasks correspond to simple functions of that posterior. They then analyze when head tuning (a linear classifier on frozen features) or prompt tuning can recover the correct function under different non‑degeneracy conditions.</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Model Prior: Weak and Strong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turned a vague intuition (“pretraining gives good representations”) into a concrete problem about model priors: under what conditions is the pretraining prior </w:t>
            </w:r>
            <w:r w:rsidDel="00000000" w:rsidR="00000000" w:rsidRPr="00000000">
              <w:rPr>
                <w:rFonts w:ascii="Times New Roman" w:cs="Times New Roman" w:eastAsia="Times New Roman" w:hAnsi="Times New Roman"/>
                <w:i w:val="1"/>
                <w:iCs w:val="1"/>
                <w:sz w:val="24"/>
                <w:szCs w:val="24"/>
                <w:rtl w:val="0"/>
              </w:rPr>
              <w:t xml:space="preserve">sufficiently strong</w:t>
            </w:r>
            <w:r w:rsidDel="00000000" w:rsidR="00000000" w:rsidRPr="00000000">
              <w:rPr>
                <w:rFonts w:ascii="Times New Roman" w:cs="Times New Roman" w:eastAsia="Times New Roman" w:hAnsi="Times New Roman"/>
                <w:sz w:val="24"/>
                <w:szCs w:val="24"/>
                <w:rtl w:val="0"/>
              </w:rPr>
              <w:t xml:space="preserve"> that simple heads or prompts can recover the right downstream function, and when is it </w:t>
            </w:r>
            <w:r w:rsidDel="00000000" w:rsidR="00000000" w:rsidRPr="00000000">
              <w:rPr>
                <w:rFonts w:ascii="Times New Roman" w:cs="Times New Roman" w:eastAsia="Times New Roman" w:hAnsi="Times New Roman"/>
                <w:i w:val="1"/>
                <w:iCs w:val="1"/>
                <w:sz w:val="24"/>
                <w:szCs w:val="24"/>
                <w:rtl w:val="0"/>
              </w:rPr>
              <w:t xml:space="preserve">too weak</w:t>
            </w:r>
            <w:r w:rsidDel="00000000" w:rsidR="00000000" w:rsidRPr="00000000">
              <w:rPr>
                <w:rFonts w:ascii="Times New Roman" w:cs="Times New Roman" w:eastAsia="Times New Roman" w:hAnsi="Times New Roman"/>
                <w:sz w:val="24"/>
                <w:szCs w:val="24"/>
                <w:rtl w:val="0"/>
              </w:rPr>
              <w:t xml:space="preserve"> or mis‑aligned? That reframed many empirical adaptation tricks as ways of working with or around a fixed prior, foreshadowing later debates about how far post‑training (SFT/RL) should move us from the base model prior.</w:t>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7305"/>
        <w:tblGridChange w:id="0">
          <w:tblGrid>
            <w:gridCol w:w="1740"/>
            <w:gridCol w:w="730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z w:val="24"/>
                <w:szCs w:val="24"/>
                <w:rtl w:val="0"/>
              </w:rPr>
              <w:t xml:space="preserve">Large LMs as world‑model priors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Rytting &amp; Wingate fine‑tuned pre‑trained T5 models on abstract textual reasoning tasks (object manipulation, navigation, compositional rules) and compared them to identical architectures trained from scratch. Pre‑trained models learned </w:t>
            </w:r>
            <w:r w:rsidDel="00000000" w:rsidR="00000000" w:rsidRPr="00000000">
              <w:rPr>
                <w:rFonts w:ascii="Times New Roman" w:cs="Times New Roman" w:eastAsia="Times New Roman" w:hAnsi="Times New Roman"/>
                <w:sz w:val="24"/>
                <w:szCs w:val="24"/>
                <w:rtl w:val="0"/>
              </w:rPr>
              <w:t xml:space="preserve">rules far</w:t>
            </w:r>
            <w:r w:rsidDel="00000000" w:rsidR="00000000" w:rsidRPr="00000000">
              <w:rPr>
                <w:rFonts w:ascii="Times New Roman" w:cs="Times New Roman" w:eastAsia="Times New Roman" w:hAnsi="Times New Roman"/>
                <w:sz w:val="24"/>
                <w:szCs w:val="24"/>
                <w:rtl w:val="0"/>
              </w:rPr>
              <w:t xml:space="preserve"> more </w:t>
            </w:r>
            <w:r w:rsidDel="00000000" w:rsidR="00000000" w:rsidRPr="00000000">
              <w:rPr>
                <w:rFonts w:ascii="Times New Roman" w:cs="Times New Roman" w:eastAsia="Times New Roman" w:hAnsi="Times New Roman"/>
                <w:sz w:val="24"/>
                <w:szCs w:val="24"/>
                <w:rtl w:val="0"/>
              </w:rPr>
              <w:t xml:space="preserve">sample</w:t>
            </w:r>
            <w:r w:rsidDel="00000000" w:rsidR="00000000" w:rsidRPr="00000000">
              <w:rPr>
                <w:rFonts w:ascii="Times New Roman" w:cs="Times New Roman" w:eastAsia="Times New Roman" w:hAnsi="Times New Roman"/>
                <w:sz w:val="24"/>
                <w:szCs w:val="24"/>
                <w:rtl w:val="0"/>
              </w:rPr>
              <w:t xml:space="preserve">‑efficiently and generalized along axes like cardinality, novel objects, and compositional recombination, which they attributed to real‑world structure and commonsense already embedded in the LM’s weights.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Model Prior: Weak and Strong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implicitly defined a new problem space: what kinds of real‑world structural priors do LMs carry, and where are those priors too weak or too wrong to support reasoning? Instead of just asking “can the model get high accuracy?”, the question became “is the model’s prior strong enough to support symbolic‑style generalization, or do we need to engineer stronger priors or reasoning modules?”, directly feeding into today’s “weak vs strong model prior” framing.</w:t>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7365"/>
        <w:tblGridChange w:id="0">
          <w:tblGrid>
            <w:gridCol w:w="1680"/>
            <w:gridCol w:w="73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Feature‑level inductive bias – when pretraining priors lock models into spurious vs robust features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Lovering et al. (ICLR 2021) introduced an information‑theoretic probing framework to predict which features (intended vs spurious) a pre‑trained model will actually use after fine‑tuning. They showed that both (i) how easily a feature can be extracted from the pre‑trained representation, and (ii) how much the fine‑tuning data discourages spurious features, jointly determine the model’s inductive bias, with strong correlations between these quantities and downstream generalization behaviour.</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Model Prior: Weak and Strong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crystallized a previously fuzzy issue into a new problem: given a fixed pretraining prior over features, when is that prior “too strong” (locking the model into easy spurious heuristics) and when is it “weak” enough for data to steer it toward the true concept? It shifted attention toward diagnosing and controlling feature‑level priors, a core ingredient in current thinking about how strong a model prior we actually want before we add SFT or RL.</w:t>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7320"/>
        <w:tblGridChange w:id="0">
          <w:tblGrid>
            <w:gridCol w:w="1725"/>
            <w:gridCol w:w="732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Frozen‑backbone, parameter‑efficient tuning as a probe of how much the prior already does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 &amp; Liang’s prefix‑tuning and Lester et al.’s prompt tuning kept all LM weights frozen and learned only small continuous prefixes/prompts, yet achieved performance comparable to full fine‑tuning once models reached the billions‑of‑parameters regime (e.g., T5‑11B). These methods also often </w:t>
            </w:r>
            <w:r w:rsidDel="00000000" w:rsidR="00000000" w:rsidRPr="00000000">
              <w:rPr>
                <w:rFonts w:ascii="Times New Roman" w:cs="Times New Roman" w:eastAsia="Times New Roman" w:hAnsi="Times New Roman"/>
                <w:i w:val="1"/>
                <w:iCs w:val="1"/>
                <w:sz w:val="24"/>
                <w:szCs w:val="24"/>
                <w:rtl w:val="0"/>
              </w:rPr>
              <w:t xml:space="preserve">extrapolated better to unseen domains</w:t>
            </w:r>
            <w:r w:rsidDel="00000000" w:rsidR="00000000" w:rsidRPr="00000000">
              <w:rPr>
                <w:rFonts w:ascii="Times New Roman" w:cs="Times New Roman" w:eastAsia="Times New Roman" w:hAnsi="Times New Roman"/>
                <w:sz w:val="24"/>
                <w:szCs w:val="24"/>
                <w:rtl w:val="0"/>
              </w:rPr>
              <w:t xml:space="preserve"> than full fine‑tuning, precisely because they preserved the pre‑trained parameters.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Model Prior: Weak and Strong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implicitly posed the question: if a tiny prompt can unlock near‑optimal performance, how strong and overcomplete is the underlying model prior? They turned “parameter‑efficient </w:t>
            </w:r>
            <w:r w:rsidDel="00000000" w:rsidR="00000000" w:rsidRPr="00000000">
              <w:rPr>
                <w:rFonts w:ascii="Times New Roman" w:cs="Times New Roman" w:eastAsia="Times New Roman" w:hAnsi="Times New Roman"/>
                <w:sz w:val="24"/>
                <w:szCs w:val="24"/>
                <w:rtl w:val="0"/>
              </w:rPr>
              <w:t xml:space="preserve">finetuning”</w:t>
            </w:r>
            <w:r w:rsidDel="00000000" w:rsidR="00000000" w:rsidRPr="00000000">
              <w:rPr>
                <w:rFonts w:ascii="Times New Roman" w:cs="Times New Roman" w:eastAsia="Times New Roman" w:hAnsi="Times New Roman"/>
                <w:sz w:val="24"/>
                <w:szCs w:val="24"/>
                <w:rtl w:val="0"/>
              </w:rPr>
              <w:t xml:space="preserve"> into a problem about decomposing behaviour into what the frozen prior already encodes vs what the small adaptation layer adds, highlighting regimes where we might </w:t>
            </w:r>
            <w:r w:rsidDel="00000000" w:rsidR="00000000" w:rsidRPr="00000000">
              <w:rPr>
                <w:rFonts w:ascii="Times New Roman" w:cs="Times New Roman" w:eastAsia="Times New Roman" w:hAnsi="Times New Roman"/>
                <w:i w:val="1"/>
                <w:iCs w:val="1"/>
                <w:sz w:val="24"/>
                <w:szCs w:val="24"/>
                <w:rtl w:val="0"/>
              </w:rPr>
              <w:t xml:space="preserve">want</w:t>
            </w:r>
            <w:r w:rsidDel="00000000" w:rsidR="00000000" w:rsidRPr="00000000">
              <w:rPr>
                <w:rFonts w:ascii="Times New Roman" w:cs="Times New Roman" w:eastAsia="Times New Roman" w:hAnsi="Times New Roman"/>
                <w:sz w:val="24"/>
                <w:szCs w:val="24"/>
                <w:rtl w:val="0"/>
              </w:rPr>
              <w:t xml:space="preserve"> a very strong, stable prior and regimes where that strength becomes a liability.</w:t>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275"/>
        <w:tblGridChange w:id="0">
          <w:tblGrid>
            <w:gridCol w:w="1770"/>
            <w:gridCol w:w="72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Inverse‑scaling “strong prior” failures where bigger models can’t override their own prior</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Inverse Scaling Prize collected tasks where larger LMs perform </w:t>
            </w:r>
            <w:r w:rsidDel="00000000" w:rsidR="00000000" w:rsidRPr="00000000">
              <w:rPr>
                <w:rFonts w:ascii="Times New Roman" w:cs="Times New Roman" w:eastAsia="Times New Roman" w:hAnsi="Times New Roman"/>
                <w:i w:val="1"/>
                <w:iCs w:val="1"/>
                <w:sz w:val="24"/>
                <w:szCs w:val="24"/>
                <w:rtl w:val="0"/>
              </w:rPr>
              <w:t xml:space="preserve">worse</w:t>
            </w:r>
            <w:r w:rsidDel="00000000" w:rsidR="00000000" w:rsidRPr="00000000">
              <w:rPr>
                <w:rFonts w:ascii="Times New Roman" w:cs="Times New Roman" w:eastAsia="Times New Roman" w:hAnsi="Times New Roman"/>
                <w:sz w:val="24"/>
                <w:szCs w:val="24"/>
                <w:rtl w:val="0"/>
              </w:rPr>
              <w:t xml:space="preserve"> than smaller ones; many winning tasks (e.g., </w:t>
            </w:r>
            <w:r w:rsidDel="00000000" w:rsidR="00000000" w:rsidRPr="00000000">
              <w:rPr>
                <w:rFonts w:ascii="Times New Roman" w:cs="Times New Roman" w:eastAsia="Times New Roman" w:hAnsi="Times New Roman"/>
                <w:i w:val="1"/>
                <w:iCs w:val="1"/>
                <w:sz w:val="24"/>
                <w:szCs w:val="24"/>
                <w:rtl w:val="0"/>
              </w:rPr>
              <w:t xml:space="preserve">Resisting Correction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Memo Trap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Redefine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Prompt Injection</w:t>
            </w:r>
            <w:r w:rsidDel="00000000" w:rsidR="00000000" w:rsidRPr="00000000">
              <w:rPr>
                <w:rFonts w:ascii="Times New Roman" w:cs="Times New Roman" w:eastAsia="Times New Roman" w:hAnsi="Times New Roman"/>
                <w:sz w:val="24"/>
                <w:szCs w:val="24"/>
                <w:rtl w:val="0"/>
              </w:rPr>
              <w:t xml:space="preserve">) later became known as “strong prior” tasks. Analysis showed that as models scale, they increasingly prefer pretraining knowledge (correct spellings, conventional meanings, memorized phrases) over explicit instructions in the prompt, producing monotonic inverse scaling on these tasks.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Model Prior: Weak and Strong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tasks exposed a qualitatively new problem: when does a model’s prior become so strong that it overrides new information in context, even when users explicitly ask otherwise? That made “too‑strong priors” a concrete failure mode rather than an abstract worry, directly motivating today’s mainframe topic of </w:t>
            </w:r>
            <w:r w:rsidDel="00000000" w:rsidR="00000000" w:rsidRPr="00000000">
              <w:rPr>
                <w:rFonts w:ascii="Times New Roman" w:cs="Times New Roman" w:eastAsia="Times New Roman" w:hAnsi="Times New Roman"/>
                <w:i w:val="1"/>
                <w:iCs w:val="1"/>
                <w:sz w:val="24"/>
                <w:szCs w:val="24"/>
                <w:rtl w:val="0"/>
              </w:rPr>
              <w:t xml:space="preserve">Model Prior: Weak and Strong</w:t>
            </w:r>
            <w:r w:rsidDel="00000000" w:rsidR="00000000" w:rsidRPr="00000000">
              <w:rPr>
                <w:rFonts w:ascii="Times New Roman" w:cs="Times New Roman" w:eastAsia="Times New Roman" w:hAnsi="Times New Roman"/>
                <w:sz w:val="24"/>
                <w:szCs w:val="24"/>
                <w:rtl w:val="0"/>
              </w:rPr>
              <w:t xml:space="preserve"> and the search for training schemes that keep priors strong enough for generalization but not so strong that they resist correction.</w:t>
            </w:r>
          </w:p>
        </w:tc>
      </w:tr>
    </w:tbl>
    <w:p w:rsidR="00000000" w:rsidDel="00000000" w:rsidP="00000000" w:rsidRDefault="00000000" w:rsidRPr="00000000" w14:paraId="0000003C">
      <w:pPr>
        <w:spacing w:after="160" w:line="301.09090909090907"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