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related‑work and literature‑review generation for scientific papers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2020, AbuRa’ed et al. framed “automatic related work section generation” as a distinct task: generating coherent related‑work prose from multiple source papers, using neural abstractive models tailored to scientific articles rather than generic summarization.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Academic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surfaced a new problem: helping authors </w:t>
            </w:r>
            <w:r w:rsidDel="00000000" w:rsidR="00000000" w:rsidRPr="00000000">
              <w:rPr>
                <w:rFonts w:ascii="Times New Roman" w:cs="Times New Roman" w:eastAsia="Times New Roman" w:hAnsi="Times New Roman"/>
                <w:i w:val="1"/>
                <w:iCs w:val="1"/>
                <w:sz w:val="24"/>
                <w:szCs w:val="24"/>
                <w:rtl w:val="0"/>
              </w:rPr>
              <w:t xml:space="preserve">write</w:t>
            </w:r>
            <w:r w:rsidDel="00000000" w:rsidR="00000000" w:rsidRPr="00000000">
              <w:rPr>
                <w:rFonts w:ascii="Times New Roman" w:cs="Times New Roman" w:eastAsia="Times New Roman" w:hAnsi="Times New Roman"/>
                <w:sz w:val="24"/>
                <w:szCs w:val="24"/>
                <w:rtl w:val="0"/>
              </w:rPr>
              <w:t xml:space="preserve"> structured literature syntheses (related‑work sections, mini‑surveys) from curated references, not just retrieve or summarize individual papers—exactly the niche modern semi‑automatic tools address when they draft related‑work paragraphs from a bibliography that the researcher curates.</w:t>
            </w: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Domain‑specialized scientific text suggestion inside the editor</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NEWRITER (Bezerra et al., 2021) introduced a scientific writing editor where users feed in domain‑specific papers, train a custom language model, and receive real‑time token/phrase suggestions while drafting their own manuscript, explicitly targeting sub‑field jargon and style.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Academic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posed a new problem: how to embed </w:t>
            </w:r>
            <w:r w:rsidDel="00000000" w:rsidR="00000000" w:rsidRPr="00000000">
              <w:rPr>
                <w:rFonts w:ascii="Times New Roman" w:cs="Times New Roman" w:eastAsia="Times New Roman" w:hAnsi="Times New Roman"/>
                <w:i w:val="1"/>
                <w:iCs w:val="1"/>
                <w:sz w:val="24"/>
                <w:szCs w:val="24"/>
                <w:rtl w:val="0"/>
              </w:rPr>
              <w:t xml:space="preserve">domain‑aware</w:t>
            </w:r>
            <w:r w:rsidDel="00000000" w:rsidR="00000000" w:rsidRPr="00000000">
              <w:rPr>
                <w:rFonts w:ascii="Times New Roman" w:cs="Times New Roman" w:eastAsia="Times New Roman" w:hAnsi="Times New Roman"/>
                <w:sz w:val="24"/>
                <w:szCs w:val="24"/>
                <w:rtl w:val="0"/>
              </w:rPr>
              <w:t xml:space="preserve">, user‑adapted language models directly into the writing workflow so that assistance feels like a knowledgeable co‑author rather than a generic proofreader—central to today’s semi‑automatic academic tools that adapt to a lab’s corpus and suggest on‑the‑fly continuations for methods, results, and technical exposition.</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full‑paper scientific revision processes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arXivEdits (Jiang et al., EMNLP 2022) released a corpus of 751 multi‑version arXiv papers with sentence‑level alignments and span‑level edits annotated by </w:t>
            </w:r>
            <w:r w:rsidDel="00000000" w:rsidR="00000000" w:rsidRPr="00000000">
              <w:rPr>
                <w:rFonts w:ascii="Times New Roman" w:cs="Times New Roman" w:eastAsia="Times New Roman" w:hAnsi="Times New Roman"/>
                <w:i w:val="1"/>
                <w:iCs w:val="1"/>
                <w:sz w:val="24"/>
                <w:szCs w:val="24"/>
                <w:rtl w:val="0"/>
              </w:rPr>
              <w:t xml:space="preserve">revision intent</w:t>
            </w:r>
            <w:r w:rsidDel="00000000" w:rsidR="00000000" w:rsidRPr="00000000">
              <w:rPr>
                <w:rFonts w:ascii="Times New Roman" w:cs="Times New Roman" w:eastAsia="Times New Roman" w:hAnsi="Times New Roman"/>
                <w:sz w:val="24"/>
                <w:szCs w:val="24"/>
                <w:rtl w:val="0"/>
              </w:rPr>
              <w:t xml:space="preserve"> (clarification, strengthening claims, etc.), plus models for alignment, edit extraction, and intent classification.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Academic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articulated the problem of understanding </w:t>
            </w:r>
            <w:r w:rsidDel="00000000" w:rsidR="00000000" w:rsidRPr="00000000">
              <w:rPr>
                <w:rFonts w:ascii="Times New Roman" w:cs="Times New Roman" w:eastAsia="Times New Roman" w:hAnsi="Times New Roman"/>
                <w:i w:val="1"/>
                <w:iCs w:val="1"/>
                <w:sz w:val="24"/>
                <w:szCs w:val="24"/>
                <w:rtl w:val="0"/>
              </w:rPr>
              <w:t xml:space="preserve">where, how, and why</w:t>
            </w:r>
            <w:r w:rsidDel="00000000" w:rsidR="00000000" w:rsidRPr="00000000">
              <w:rPr>
                <w:rFonts w:ascii="Times New Roman" w:cs="Times New Roman" w:eastAsia="Times New Roman" w:hAnsi="Times New Roman"/>
                <w:sz w:val="24"/>
                <w:szCs w:val="24"/>
                <w:rtl w:val="0"/>
              </w:rPr>
              <w:t xml:space="preserve"> scientists revise their papers across versions, moving from one‑shot “improve this text” to revision‑aware support—foundational for semi‑automatic academic tools that now identify revision hotspots and propose targeted clarifications, hedging, or structural edits during drafting.</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Argument‑structure‑aware feedback during writing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Wambsganss et al. (CHI 2020) presented AL, an adaptive learning tool that uses argument mining to detect claims and premises, visualize argumentative structure, and provide automatic feedback on students’ argumentation directly within their writing environment; subsequent work extended this to automated feedback with social‑comparison nudging.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Academic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made explicit a new problem: giving </w:t>
            </w:r>
            <w:r w:rsidDel="00000000" w:rsidR="00000000" w:rsidRPr="00000000">
              <w:rPr>
                <w:rFonts w:ascii="Times New Roman" w:cs="Times New Roman" w:eastAsia="Times New Roman" w:hAnsi="Times New Roman"/>
                <w:i w:val="1"/>
                <w:iCs w:val="1"/>
                <w:sz w:val="24"/>
                <w:szCs w:val="24"/>
                <w:rtl w:val="0"/>
              </w:rPr>
              <w:t xml:space="preserve">discourse‑ and argument‑level</w:t>
            </w:r>
            <w:r w:rsidDel="00000000" w:rsidR="00000000" w:rsidRPr="00000000">
              <w:rPr>
                <w:rFonts w:ascii="Times New Roman" w:cs="Times New Roman" w:eastAsia="Times New Roman" w:hAnsi="Times New Roman"/>
                <w:sz w:val="24"/>
                <w:szCs w:val="24"/>
                <w:rtl w:val="0"/>
              </w:rPr>
              <w:t xml:space="preserve"> feedback (missing premises, weak support) as authors write, not just grammar or fluency corrections—now a key dimension of semi‑automatic academic writing systems that aim to assist with logical flow and argumentative rigor in papers.</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Human–AI collaborative writing as an interaction problem</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CoAuthor (Lee et al., CHI 2022) captured keystroke‑level interactions between 63 writers and multiple GPT‑3 instances over 1,445 creative and argumentative writing sessions, logging when users requested, accepted, edited, or discarded model suggestions and proposing metrics for language, ideation, and collaboration quality.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Academic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formulated the question: </w:t>
            </w:r>
            <w:r w:rsidDel="00000000" w:rsidR="00000000" w:rsidRPr="00000000">
              <w:rPr>
                <w:rFonts w:ascii="Times New Roman" w:cs="Times New Roman" w:eastAsia="Times New Roman" w:hAnsi="Times New Roman"/>
                <w:i w:val="1"/>
                <w:iCs w:val="1"/>
                <w:sz w:val="24"/>
                <w:szCs w:val="24"/>
                <w:rtl w:val="0"/>
              </w:rPr>
              <w:t xml:space="preserve">what does good human–LM collaboration in writing look like, and how should the work be shared?</w:t>
            </w:r>
            <w:r w:rsidDel="00000000" w:rsidR="00000000" w:rsidRPr="00000000">
              <w:rPr>
                <w:rFonts w:ascii="Times New Roman" w:cs="Times New Roman" w:eastAsia="Times New Roman" w:hAnsi="Times New Roman"/>
                <w:sz w:val="24"/>
                <w:szCs w:val="24"/>
                <w:rtl w:val="0"/>
              </w:rPr>
              <w:t xml:space="preserve">—a problem that underpins semi‑automatic academic tools which now carefully design turn‑taking, suggestion granularity (phrase vs. paragraph), and user control instead of treating the model as a fully autonomous paper generator.</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