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645"/>
        <w:tblGridChange w:id="0">
          <w:tblGrid>
            <w:gridCol w:w="2400"/>
            <w:gridCol w:w="66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Training‑data extraction and memorization risks in large language models used in scientific workflows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on “</w:t>
            </w:r>
            <w:r w:rsidDel="00000000" w:rsidR="00000000" w:rsidRPr="00000000">
              <w:rPr>
                <w:rFonts w:ascii="Times New Roman" w:cs="Times New Roman" w:eastAsia="Times New Roman" w:hAnsi="Times New Roman"/>
                <w:i w:val="1"/>
                <w:iCs w:val="1"/>
                <w:sz w:val="24"/>
                <w:szCs w:val="24"/>
                <w:rtl w:val="0"/>
              </w:rPr>
              <w:t xml:space="preserve">Extracting Training Data from Large Language Models”</w:t>
            </w:r>
            <w:r w:rsidDel="00000000" w:rsidR="00000000" w:rsidRPr="00000000">
              <w:rPr>
                <w:rFonts w:ascii="Times New Roman" w:cs="Times New Roman" w:eastAsia="Times New Roman" w:hAnsi="Times New Roman"/>
                <w:sz w:val="24"/>
                <w:szCs w:val="24"/>
                <w:rtl w:val="0"/>
              </w:rPr>
              <w:t xml:space="preserve"> showed that large LMs like GPT‑2 memorize and can leak verbatim training samples (including names, contact details, code, UUIDs) via black‑box querying, with leakage getting worse as model size increases.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Ethics and Safety in AI4Research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this, most researchers tacitly assumed that “just pretraining on lots of text” was benign for scientific tools; this work surfaced a new problem: AI assistants embedded in research workflows might exfiltrate proprietary lab notebooks, clinical notes, or embargoed manuscripts, turning routine AI4Research usage into a latent privacy, IP, and compliance risk.</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735"/>
        <w:tblGridChange w:id="0">
          <w:tblGrid>
            <w:gridCol w:w="2310"/>
            <w:gridCol w:w="67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Dual‑use toxicity of generative models for molecular and biochemical design</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Urbina et al.’s “</w:t>
            </w:r>
            <w:r w:rsidDel="00000000" w:rsidR="00000000" w:rsidRPr="00000000">
              <w:rPr>
                <w:rFonts w:ascii="Times New Roman" w:cs="Times New Roman" w:eastAsia="Times New Roman" w:hAnsi="Times New Roman"/>
                <w:i w:val="1"/>
                <w:iCs w:val="1"/>
                <w:sz w:val="24"/>
                <w:szCs w:val="24"/>
                <w:rtl w:val="0"/>
              </w:rPr>
              <w:t xml:space="preserve">Dual Use of Artificial-Intelligence‑Powered Drug Discovery”</w:t>
            </w:r>
            <w:r w:rsidDel="00000000" w:rsidR="00000000" w:rsidRPr="00000000">
              <w:rPr>
                <w:rFonts w:ascii="Times New Roman" w:cs="Times New Roman" w:eastAsia="Times New Roman" w:hAnsi="Times New Roman"/>
                <w:sz w:val="24"/>
                <w:szCs w:val="24"/>
                <w:rtl w:val="0"/>
              </w:rPr>
              <w:t xml:space="preserve"> demonstrated that a generative model originally built to propose safe drug candidates could, with minimal changes, be steered to generate tens of thousands of novel VX‑like nerve agents that are predicted to be even more toxic than VX itself.</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Ethics and Safety in AI4Research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AI4Science had been framed mainly as “accelerating beneficial discovery”; this work crystallized a previously unarticulated problem-space: widely shared AI design tools for chemistry/biology can </w:t>
            </w:r>
            <w:r w:rsidDel="00000000" w:rsidR="00000000" w:rsidRPr="00000000">
              <w:rPr>
                <w:rFonts w:ascii="Times New Roman" w:cs="Times New Roman" w:eastAsia="Times New Roman" w:hAnsi="Times New Roman"/>
                <w:i w:val="1"/>
                <w:iCs w:val="1"/>
                <w:sz w:val="24"/>
                <w:szCs w:val="24"/>
                <w:rtl w:val="0"/>
              </w:rPr>
              <w:t xml:space="preserve">also</w:t>
            </w:r>
            <w:r w:rsidDel="00000000" w:rsidR="00000000" w:rsidRPr="00000000">
              <w:rPr>
                <w:rFonts w:ascii="Times New Roman" w:cs="Times New Roman" w:eastAsia="Times New Roman" w:hAnsi="Times New Roman"/>
                <w:sz w:val="24"/>
                <w:szCs w:val="24"/>
                <w:rtl w:val="0"/>
              </w:rPr>
              <w:t xml:space="preserve"> supercharge weapons R&amp;D, forcing the community to ask what safeguards, access controls, and norms are needed when AI becomes a core research instrument.</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720"/>
        <w:tblGridChange w:id="0">
          <w:tblGrid>
            <w:gridCol w:w="2325"/>
            <w:gridCol w:w="67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Convincing but fabricated scientific abstracts and manuscripts generated by large language models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Gao et al. showed that ChatGPT‑generated biomedical abstracts—built entirely from invented data—could fool blinded reviewers and evade plagiarism checkers, while AI‑output detectors only partially helped.</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Ethics and Safety in AI4Research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 worries about “ghost‑writing” were mostly about plagiarism and authorship; this line of work exposed a new problem: AI can manufacture </w:t>
            </w:r>
            <w:r w:rsidDel="00000000" w:rsidR="00000000" w:rsidRPr="00000000">
              <w:rPr>
                <w:rFonts w:ascii="Times New Roman" w:cs="Times New Roman" w:eastAsia="Times New Roman" w:hAnsi="Times New Roman"/>
                <w:i w:val="1"/>
                <w:iCs w:val="1"/>
                <w:sz w:val="24"/>
                <w:szCs w:val="24"/>
                <w:rtl w:val="0"/>
              </w:rPr>
              <w:t xml:space="preserve">plausible but nonexistent science</w:t>
            </w:r>
            <w:r w:rsidDel="00000000" w:rsidR="00000000" w:rsidRPr="00000000">
              <w:rPr>
                <w:rFonts w:ascii="Times New Roman" w:cs="Times New Roman" w:eastAsia="Times New Roman" w:hAnsi="Times New Roman"/>
                <w:sz w:val="24"/>
                <w:szCs w:val="24"/>
                <w:rtl w:val="0"/>
              </w:rPr>
              <w:t xml:space="preserve"> that passes superficial editorial scrutiny, threatening the reliability of the literature and forcing a rethinking of integrity, provenance and fraud detection in AI‑mediated research.</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6855"/>
        <w:tblGridChange w:id="0">
          <w:tblGrid>
            <w:gridCol w:w="2190"/>
            <w:gridCol w:w="68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 ethical framing of AI‑accelerated scientific discovery networks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AI3SD / AI for Scientific Discovery Network+ and its “AI4Good – The Ethical and Societal Implications of Using AI in Scientific Discovery” workshop at WebSci’20 began systematically mapping how autonomous labs, opaque models, and data‑driven experimentation might clash with scientific norms—emphasizing human‑in‑the‑loop, transparency, and responsibility as explicit design goals.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Ethics and Safety in AI4Research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Mainstream AI ethics then focused on societal applications (policing, hiring, credit scoring); these network papers and workshops surfaced a different problem-space: what happens to accountability, credit, error analysis and norms of inquiry when </w:t>
            </w:r>
            <w:r w:rsidDel="00000000" w:rsidR="00000000" w:rsidRPr="00000000">
              <w:rPr>
                <w:rFonts w:ascii="Times New Roman" w:cs="Times New Roman" w:eastAsia="Times New Roman" w:hAnsi="Times New Roman"/>
                <w:i w:val="1"/>
                <w:iCs w:val="1"/>
                <w:sz w:val="24"/>
                <w:szCs w:val="24"/>
                <w:rtl w:val="0"/>
              </w:rPr>
              <w:t xml:space="preserve">core parts of the scientific method</w:t>
            </w:r>
            <w:r w:rsidDel="00000000" w:rsidR="00000000" w:rsidRPr="00000000">
              <w:rPr>
                <w:rFonts w:ascii="Times New Roman" w:cs="Times New Roman" w:eastAsia="Times New Roman" w:hAnsi="Times New Roman"/>
                <w:sz w:val="24"/>
                <w:szCs w:val="24"/>
                <w:rtl w:val="0"/>
              </w:rPr>
              <w:t xml:space="preserve"> (hypothesis generation, experiment selection, analysis) are delegated to AI systems.</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095"/>
        <w:tblGridChange w:id="0">
          <w:tblGrid>
            <w:gridCol w:w="1950"/>
            <w:gridCol w:w="70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filter bubbles, and fairness in AI‑driven scholarly recommender and expert systems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such as Polonioli’s “</w:t>
            </w:r>
            <w:r w:rsidDel="00000000" w:rsidR="00000000" w:rsidRPr="00000000">
              <w:rPr>
                <w:rFonts w:ascii="Times New Roman" w:cs="Times New Roman" w:eastAsia="Times New Roman" w:hAnsi="Times New Roman"/>
                <w:i w:val="1"/>
                <w:iCs w:val="1"/>
                <w:sz w:val="24"/>
                <w:szCs w:val="24"/>
                <w:rtl w:val="0"/>
              </w:rPr>
              <w:t xml:space="preserve">The Ethics of Scientific Recommender Systems”</w:t>
            </w:r>
            <w:r w:rsidDel="00000000" w:rsidR="00000000" w:rsidRPr="00000000">
              <w:rPr>
                <w:rFonts w:ascii="Times New Roman" w:cs="Times New Roman" w:eastAsia="Times New Roman" w:hAnsi="Times New Roman"/>
                <w:sz w:val="24"/>
                <w:szCs w:val="24"/>
                <w:rtl w:val="0"/>
              </w:rPr>
              <w:t xml:space="preserve"> and Salman et al. on diversity in academic expert recommendation argued that systems recommending papers, reviewers, and candidates systematically amplify popularity, demographic, and geographic biases, creating information bubbles and skewed visibility in science; subsequent surveys on biases in scholarly recommender systems reinforced these concerns.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Ethics and Safety in AI4Research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just “AI fairness in general,” these works exposed a specific new problem for AI4Research: algorithmic tools that mediate what scientists read and who they collaborate with can quietly reshape citation patterns, hiring, and funding, entrenching epistemic and structural inequities in the research ecosystem itself—now a central concern in ethics &amp; governance of AI for research.</w:t>
            </w:r>
          </w:p>
        </w:tc>
      </w:tr>
    </w:tbl>
    <w:p w:rsidR="00000000" w:rsidDel="00000000" w:rsidP="00000000" w:rsidRDefault="00000000" w:rsidRPr="00000000" w14:paraId="00000032">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