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w:t>
            </w:r>
            <w:r w:rsidDel="00000000" w:rsidR="00000000" w:rsidRPr="00000000">
              <w:rPr>
                <w:rFonts w:ascii="Times New Roman" w:cs="Times New Roman" w:eastAsia="Times New Roman" w:hAnsi="Times New Roman"/>
                <w:i w:val="1"/>
                <w:iCs w:val="1"/>
                <w:sz w:val="24"/>
                <w:szCs w:val="24"/>
                <w:rtl w:val="0"/>
              </w:rPr>
              <w:t xml:space="preserve">faithfulness</w:t>
            </w:r>
            <w:r w:rsidDel="00000000" w:rsidR="00000000" w:rsidRPr="00000000">
              <w:rPr>
                <w:rFonts w:ascii="Times New Roman" w:cs="Times New Roman" w:eastAsia="Times New Roman" w:hAnsi="Times New Roman"/>
                <w:sz w:val="24"/>
                <w:szCs w:val="24"/>
                <w:rtl w:val="0"/>
              </w:rPr>
              <w:t xml:space="preserve"> of explanations as a central, distinct problem in NLP interpretability</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Jacovi &amp; Goldberg’s “Towards Faithfully Interpretable NLP Systems” argued that much of NLP interpretability research lacked clear definitions and that many popular explanation methods may </w:t>
            </w:r>
            <w:r w:rsidDel="00000000" w:rsidR="00000000" w:rsidRPr="00000000">
              <w:rPr>
                <w:rFonts w:ascii="Times New Roman" w:cs="Times New Roman" w:eastAsia="Times New Roman" w:hAnsi="Times New Roman"/>
                <w:i w:val="1"/>
                <w:iCs w:val="1"/>
                <w:sz w:val="24"/>
                <w:szCs w:val="24"/>
                <w:rtl w:val="0"/>
              </w:rPr>
              <w:t xml:space="preserve">look</w:t>
            </w:r>
            <w:r w:rsidDel="00000000" w:rsidR="00000000" w:rsidRPr="00000000">
              <w:rPr>
                <w:rFonts w:ascii="Times New Roman" w:cs="Times New Roman" w:eastAsia="Times New Roman" w:hAnsi="Times New Roman"/>
                <w:sz w:val="24"/>
                <w:szCs w:val="24"/>
                <w:rtl w:val="0"/>
              </w:rPr>
              <w:t xml:space="preserve"> reasonable but are not demonstrably faithful to a model’s actual decision process; they proposed faithfulness as a central criterion and surveyed evaluation strategies and assumptions.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Explainability and Transparency of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w:t>
            </w:r>
            <w:r w:rsidDel="00000000" w:rsidR="00000000" w:rsidRPr="00000000">
              <w:rPr>
                <w:rFonts w:ascii="Times New Roman" w:cs="Times New Roman" w:eastAsia="Times New Roman" w:hAnsi="Times New Roman"/>
                <w:sz w:val="24"/>
                <w:szCs w:val="24"/>
                <w:rtl w:val="0"/>
              </w:rPr>
              <w:t xml:space="preserve">turned</w:t>
            </w:r>
            <w:r w:rsidDel="00000000" w:rsidR="00000000" w:rsidRPr="00000000">
              <w:rPr>
                <w:rFonts w:ascii="Times New Roman" w:cs="Times New Roman" w:eastAsia="Times New Roman" w:hAnsi="Times New Roman"/>
                <w:sz w:val="24"/>
                <w:szCs w:val="24"/>
                <w:rtl w:val="0"/>
              </w:rPr>
              <w:t xml:space="preserve"> “how do we interpret models?” into the sharper problem “how do we know explanations mirror the model’s true reasoning?”, highlighting that unfaithful explanations can actively mislead users. For AI systems embedded in research workflows, this seeded the modern concern that scientific assistants must expose </w:t>
            </w:r>
            <w:r w:rsidDel="00000000" w:rsidR="00000000" w:rsidRPr="00000000">
              <w:rPr>
                <w:rFonts w:ascii="Times New Roman" w:cs="Times New Roman" w:eastAsia="Times New Roman" w:hAnsi="Times New Roman"/>
                <w:i w:val="1"/>
                <w:iCs w:val="1"/>
                <w:sz w:val="24"/>
                <w:szCs w:val="24"/>
                <w:rtl w:val="0"/>
              </w:rPr>
              <w:t xml:space="preserve">genuine</w:t>
            </w:r>
            <w:r w:rsidDel="00000000" w:rsidR="00000000" w:rsidRPr="00000000">
              <w:rPr>
                <w:rFonts w:ascii="Times New Roman" w:cs="Times New Roman" w:eastAsia="Times New Roman" w:hAnsi="Times New Roman"/>
                <w:sz w:val="24"/>
                <w:szCs w:val="24"/>
                <w:rtl w:val="0"/>
              </w:rPr>
              <w:t xml:space="preserve"> reasoning or evidence, not decorative rationalizations.</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Evidence‑annotated rationales and benchmarks for interpretable prediction, including scientific claim verification</w:t>
            </w:r>
          </w:p>
        </w:tc>
      </w:tr>
      <w:tr>
        <w:trPr>
          <w:cantSplit w:val="0"/>
          <w:trHeight w:val="283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DeYoung et al.’s ERASER benchmark introduced multiple NLP datasets with human‑annotated </w:t>
            </w:r>
            <w:r w:rsidDel="00000000" w:rsidR="00000000" w:rsidRPr="00000000">
              <w:rPr>
                <w:rFonts w:ascii="Times New Roman" w:cs="Times New Roman" w:eastAsia="Times New Roman" w:hAnsi="Times New Roman"/>
                <w:i w:val="1"/>
                <w:iCs w:val="1"/>
                <w:sz w:val="24"/>
                <w:szCs w:val="24"/>
                <w:rtl w:val="0"/>
              </w:rPr>
              <w:t xml:space="preserve">rationales</w:t>
            </w:r>
            <w:r w:rsidDel="00000000" w:rsidR="00000000" w:rsidRPr="00000000">
              <w:rPr>
                <w:rFonts w:ascii="Times New Roman" w:cs="Times New Roman" w:eastAsia="Times New Roman" w:hAnsi="Times New Roman"/>
                <w:sz w:val="24"/>
                <w:szCs w:val="24"/>
                <w:rtl w:val="0"/>
              </w:rPr>
              <w:t xml:space="preserve"> and metrics for both plausibility (agreement with humans) and faithfulness (whether rationales actually influence predictions), explicitly framing rationale quality as a measurable property. In the same year, Wadden et al.’s SciFact dataset defined </w:t>
            </w:r>
            <w:r w:rsidDel="00000000" w:rsidR="00000000" w:rsidRPr="00000000">
              <w:rPr>
                <w:rFonts w:ascii="Times New Roman" w:cs="Times New Roman" w:eastAsia="Times New Roman" w:hAnsi="Times New Roman"/>
                <w:i w:val="1"/>
                <w:iCs w:val="1"/>
                <w:sz w:val="24"/>
                <w:szCs w:val="24"/>
                <w:rtl w:val="0"/>
              </w:rPr>
              <w:t xml:space="preserve">scientific claim verification</w:t>
            </w:r>
            <w:r w:rsidDel="00000000" w:rsidR="00000000" w:rsidRPr="00000000">
              <w:rPr>
                <w:rFonts w:ascii="Times New Roman" w:cs="Times New Roman" w:eastAsia="Times New Roman" w:hAnsi="Times New Roman"/>
                <w:sz w:val="24"/>
                <w:szCs w:val="24"/>
                <w:rtl w:val="0"/>
              </w:rPr>
              <w:t xml:space="preserve"> as selecting evidence abstracts and sentence‑level rationales that support or refute scientific claims, rather than just predicting a label.</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Explainability and Transparency of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made “produce and evaluate evidence‑bearing rationales” a first‑class output requirement, not an optional extra, especially for </w:t>
            </w:r>
            <w:r w:rsidDel="00000000" w:rsidR="00000000" w:rsidRPr="00000000">
              <w:rPr>
                <w:rFonts w:ascii="Times New Roman" w:cs="Times New Roman" w:eastAsia="Times New Roman" w:hAnsi="Times New Roman"/>
                <w:i w:val="1"/>
                <w:iCs w:val="1"/>
                <w:sz w:val="24"/>
                <w:szCs w:val="24"/>
                <w:rtl w:val="0"/>
              </w:rPr>
              <w:t xml:space="preserve">scientific</w:t>
            </w:r>
            <w:r w:rsidDel="00000000" w:rsidR="00000000" w:rsidRPr="00000000">
              <w:rPr>
                <w:rFonts w:ascii="Times New Roman" w:cs="Times New Roman" w:eastAsia="Times New Roman" w:hAnsi="Times New Roman"/>
                <w:sz w:val="24"/>
                <w:szCs w:val="24"/>
                <w:rtl w:val="0"/>
              </w:rPr>
              <w:t xml:space="preserve"> tasks. That directly anticipates today’s AI4Research expectation that tools for literature triage, claim checking, and scientific QA must surface explicit evidence paths and rationales so researchers can audit and trust model‑supported conclusions.</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55"/>
        <w:tblGridChange w:id="0">
          <w:tblGrid>
            <w:gridCol w:w="2190"/>
            <w:gridCol w:w="68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Dataset‑level transparency artifacts</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Pushkarna et al. proposed Data Cards as structured, human‑centered documentation summarizing key facts about ML datasets—upstream sources, collection and annotation processes, intended uses, ethical considerations, and evaluation protocols—aimed at reducing knowledge asymmetries among stakeholders in responsible AI. In parallel, the Data Cards Playbook and work on dataset cards for GEM and other NLP benchmarks showed how to apply this idea to language datasets on platforms like Hugging Face.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Explainability and Transparency of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Cards reframed transparency as a </w:t>
            </w:r>
            <w:r w:rsidDel="00000000" w:rsidR="00000000" w:rsidRPr="00000000">
              <w:rPr>
                <w:rFonts w:ascii="Times New Roman" w:cs="Times New Roman" w:eastAsia="Times New Roman" w:hAnsi="Times New Roman"/>
                <w:i w:val="1"/>
                <w:iCs w:val="1"/>
                <w:sz w:val="24"/>
                <w:szCs w:val="24"/>
                <w:rtl w:val="0"/>
              </w:rPr>
              <w:t xml:space="preserve">dataset problem</w:t>
            </w:r>
            <w:r w:rsidDel="00000000" w:rsidR="00000000" w:rsidRPr="00000000">
              <w:rPr>
                <w:rFonts w:ascii="Times New Roman" w:cs="Times New Roman" w:eastAsia="Times New Roman" w:hAnsi="Times New Roman"/>
                <w:sz w:val="24"/>
                <w:szCs w:val="24"/>
                <w:rtl w:val="0"/>
              </w:rPr>
              <w:t xml:space="preserve">: researchers using pretrained NLP models rarely know what texts, populations, or filtering shaped the underlying corpora. That problem—making training data provenance, scope, and limitations legible to scientists—now sits at the heart of transparent AI4Research, where dataset documentation is treated as a core explanatory artifact alongside model‑level explanations.</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User‑centered evaluation of whether explanations actually help humans audit model answers</w:t>
            </w:r>
          </w:p>
        </w:tc>
      </w:tr>
      <w:tr>
        <w:trPr>
          <w:cantSplit w:val="0"/>
          <w:trHeight w:val="283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González et al.’s “Do Explanations Help Users Detect Errors in Open‑Domain QA?” ran user studies comparing spoken vs visual explanations (e.g., highlighting supporting passages) for QA systems, finding that explanations only modestly and inconsistently help users catch model errors, and that explanation modality and design matter a lot. Follow‑up work like Kunz et al.’s 2022 study of free‑text explanations showed that self‑generated rationales may score well on validity and correctness yet fail to improve downstream human decision‑making and can introduce hallucinations.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Explainability and Transparency of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exposed a new problem: explanations can </w:t>
            </w:r>
            <w:r w:rsidDel="00000000" w:rsidR="00000000" w:rsidRPr="00000000">
              <w:rPr>
                <w:rFonts w:ascii="Times New Roman" w:cs="Times New Roman" w:eastAsia="Times New Roman" w:hAnsi="Times New Roman"/>
                <w:i w:val="1"/>
                <w:iCs w:val="1"/>
                <w:sz w:val="24"/>
                <w:szCs w:val="24"/>
                <w:rtl w:val="0"/>
              </w:rPr>
              <w:t xml:space="preserve">fail</w:t>
            </w:r>
            <w:r w:rsidDel="00000000" w:rsidR="00000000" w:rsidRPr="00000000">
              <w:rPr>
                <w:rFonts w:ascii="Times New Roman" w:cs="Times New Roman" w:eastAsia="Times New Roman" w:hAnsi="Times New Roman"/>
                <w:sz w:val="24"/>
                <w:szCs w:val="24"/>
                <w:rtl w:val="0"/>
              </w:rPr>
              <w:t xml:space="preserve"> to make AI more transparent or even give users false reassurance if poorly designed. For AI4Research assistants, this crystallizes the challenge of designing explanations and evidence views that genuinely help scientists spot errors, not just decorate model outputs with extra text or highlights.</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810"/>
        <w:tblGridChange w:id="0">
          <w:tblGrid>
            <w:gridCol w:w="2235"/>
            <w:gridCol w:w="68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Human‑centered XAI frameworks that treat explanation as a socio‑technical problem</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Ehsan et al.’s “Operationalizing Human‑Centered Perspectives in Explainable AI” argued that most XAI work was algorithm‑centric and proposed an agenda for </w:t>
            </w:r>
            <w:r w:rsidDel="00000000" w:rsidR="00000000" w:rsidRPr="00000000">
              <w:rPr>
                <w:rFonts w:ascii="Times New Roman" w:cs="Times New Roman" w:eastAsia="Times New Roman" w:hAnsi="Times New Roman"/>
                <w:i w:val="1"/>
                <w:iCs w:val="1"/>
                <w:sz w:val="24"/>
                <w:szCs w:val="24"/>
                <w:rtl w:val="0"/>
              </w:rPr>
              <w:t xml:space="preserve">human‑centered</w:t>
            </w:r>
            <w:r w:rsidDel="00000000" w:rsidR="00000000" w:rsidRPr="00000000">
              <w:rPr>
                <w:rFonts w:ascii="Times New Roman" w:cs="Times New Roman" w:eastAsia="Times New Roman" w:hAnsi="Times New Roman"/>
                <w:sz w:val="24"/>
                <w:szCs w:val="24"/>
                <w:rtl w:val="0"/>
              </w:rPr>
              <w:t xml:space="preserve"> XAI, emphasizing diverse stakeholders, context‑dependent goals for explanations, and the need for actionable frameworks and evaluation methods aligned with user needs.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Explainability and Transparency of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casting explainability as a socio‑technical design problem—“who needs to understand what, and why?”—this work implicitly raised the question of </w:t>
            </w:r>
            <w:r w:rsidDel="00000000" w:rsidR="00000000" w:rsidRPr="00000000">
              <w:rPr>
                <w:rFonts w:ascii="Times New Roman" w:cs="Times New Roman" w:eastAsia="Times New Roman" w:hAnsi="Times New Roman"/>
                <w:i w:val="1"/>
                <w:iCs w:val="1"/>
                <w:sz w:val="24"/>
                <w:szCs w:val="24"/>
                <w:rtl w:val="0"/>
              </w:rPr>
              <w:t xml:space="preserve">researchers as a distinct stakeholder group</w:t>
            </w:r>
            <w:r w:rsidDel="00000000" w:rsidR="00000000" w:rsidRPr="00000000">
              <w:rPr>
                <w:rFonts w:ascii="Times New Roman" w:cs="Times New Roman" w:eastAsia="Times New Roman" w:hAnsi="Times New Roman"/>
                <w:sz w:val="24"/>
                <w:szCs w:val="24"/>
                <w:rtl w:val="0"/>
              </w:rPr>
              <w:t xml:space="preserve"> with specific explanatory needs (e.g., debugging analyses, evidence trails, provenance). That perspective is now central in AI4Research, where transparency is about the entire research ecosystem (datasets, models, interfaces, governance), not just visualizing model internals.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