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480"/>
        <w:tblGridChange w:id="0">
          <w:tblGrid>
            <w:gridCol w:w="2565"/>
            <w:gridCol w:w="64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long‑document QA that defeats skimming heuristics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Pang et al. introduced QuALITY, a multiple‑choice QA dataset where contexts average ~5,000 tokens and annotators </w:t>
            </w:r>
            <w:r w:rsidDel="00000000" w:rsidR="00000000" w:rsidRPr="00000000">
              <w:rPr>
                <w:rFonts w:ascii="Times New Roman" w:cs="Times New Roman" w:eastAsia="Times New Roman" w:hAnsi="Times New Roman"/>
                <w:i w:val="1"/>
                <w:iCs w:val="1"/>
                <w:sz w:val="24"/>
                <w:szCs w:val="24"/>
                <w:rtl w:val="0"/>
              </w:rPr>
              <w:t xml:space="preserve">must</w:t>
            </w:r>
            <w:r w:rsidDel="00000000" w:rsidR="00000000" w:rsidRPr="00000000">
              <w:rPr>
                <w:rFonts w:ascii="Times New Roman" w:cs="Times New Roman" w:eastAsia="Times New Roman" w:hAnsi="Times New Roman"/>
                <w:sz w:val="24"/>
                <w:szCs w:val="24"/>
                <w:rtl w:val="0"/>
              </w:rPr>
              <w:t xml:space="preserve"> read the entire passage to write and validate questions; half of the questions are explicitly constructed so that skimming or simple keyword search under tight time limits fails, and models lag far behind humans.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Context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crystallized a new evaluation problem: how to distinguish genuine long‑document comprehension from shallow pattern matching or local search. That “skimming‑resistant” framing directly anticipates today’s long‑context evaluation suites that probe whether models actually use the full context rather than just exploiting short‑range cues.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35"/>
        <w:tblGridChange w:id="0">
          <w:tblGrid>
            <w:gridCol w:w="2610"/>
            <w:gridCol w:w="64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Information‑seeking QA over full research papers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Dasigi et al. released QASPER, a dataset of 5,049 questions over 1,585 NLP papers where experts read only the title and abstract to pose realistic information‑seeking questions, and separate annotators read the entire paper to provide answers plus supporting evidence spans drawn from anywhere in the PDF.</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Context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QASPER reframed evaluation from toy factoid QA to “can a system answer real researchers’ questions by reading an entire technical document?”—a previously under‑formalized problem. That full‑paper, evidence‑backed setup is now central to long‑context evaluations of LLMs used as literature and paper‑reading assistants.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645"/>
        <w:tblGridChange w:id="0">
          <w:tblGrid>
            <w:gridCol w:w="2400"/>
            <w:gridCol w:w="66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benchmark of natural long‑sequence tasks across domains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Shaham et al. proposed SCROLLS, a benchmark that repackages diverse long‑input tasks—summarization, QA, and NLI over reports, meetings, TV transcripts, and more—into a unified text‑to‑text format, with inputs often in the thousands of tokens, explicitly contrasting itself with Long Range Arena which had few, partly artificial NLP tasks.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Context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SCROLLS surfaced a new problem: we lacked a standardized, multi‑task way to compare models’ long‑context abilities in real language. By unifying many long‑input datasets with consistent formats and a leaderboard, it foreshadowed today’s comprehensive long‑context evaluation suites that span tasks and domains rather than focusing on a single benchmark.</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825"/>
        <w:tblGridChange w:id="0">
          <w:tblGrid>
            <w:gridCol w:w="2220"/>
            <w:gridCol w:w="68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Benchmarks explicitly targeting long‑range dependencies beyond typical context limits</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Tay et al.’s Long Range Arena (LRA) benchmarked sequence models on inputs from 1K–16K tokens across modalities, specifically to test behavior under long‑context scenarios and decouple architectural inductive biases from large‑scale pretraining. Hudson et al.’s MuLD then built a long‑document benchmark where </w:t>
            </w:r>
            <w:r w:rsidDel="00000000" w:rsidR="00000000" w:rsidRPr="00000000">
              <w:rPr>
                <w:rFonts w:ascii="Times New Roman" w:cs="Times New Roman" w:eastAsia="Times New Roman" w:hAnsi="Times New Roman"/>
                <w:i w:val="1"/>
                <w:i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inputs exceed 10,000 tokens by filtering and modifying existing NLP tasks, showing they are dramatically harder than short‑document counterparts.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Context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line of work posed a sharper question than “does the model do QA?”: “how well can models maintain and use information over 10K‑token‑scale sequences at all?” It recast long‑context evaluation as probing genuine long‑range dependency handling (and its scaling behavior), which underlies today’s focus on context‑length stress tests and performance‑vs‑length curves in long‑context LLM evaluation.</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780"/>
        <w:tblGridChange w:id="0">
          <w:tblGrid>
            <w:gridCol w:w="2265"/>
            <w:gridCol w:w="67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Question‑focused long‑document summarization as a proxy for global understanding</w:t>
            </w:r>
          </w:p>
        </w:tc>
      </w:tr>
      <w:tr>
        <w:trPr>
          <w:cantSplit w:val="0"/>
          <w:trHeight w:val="283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Zhong et al.’s QMSum introduced query‑focused summarization over long meeting transcripts, where each meeting is paired with multiple questions whose answers require integrating information across the whole discussion. Wang et al.’s SQuALITY proposed a crowdsourcing protocol where annotators read entire sci‑fi stories (3k–6k words), write questions that require whole‑story understanding, and then answer them with multi‑paragraph summaries, also showing that standard automatic metrics correlate poorly with human judgments on this long‑context task.</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Context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datasets reframed summarization into “can a system produce targeted summaries that correctly answer deep questions about a long document?”, turning summarization into an explicit comprehension test. They also exposed that common metrics fail badly on long‑document generation, anticipating current concerns that long‑context evaluations must rely on task‑grounded or human‑aligned criteria rather than shallow overlap scores.</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