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meta‑evaluation showing standard summarization metrics break on long outputs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SummEval re‑evaluated 14 automatic summarization metrics on a large collection of model‑generated summaries with both expert and crowd human ratings, and released a toolkit plus unified dataset for benchmarking summarization systems and metrics. It showed that widely used overlap metrics like ROUGE often correlate poorly and inconsistently with human judgments across systems and quality dimensions.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proposing yet another metric, SummEval framed a new problem: we don’t even know how well our metrics reflect human preferences for long-form summaries. That meta‑evaluation perspective—treating evaluation itself as an object of study—directly underpins today’s work on robust, human‑aligned evaluation protocols for long-form generation of articles, reviews, and reports.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Factual consistency as a distinct evaluation dimension for long-form summarization</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QAGS introduced a QA‑based protocol that asks questions about a generated summary and its source document to automatically detect factual inconsistencies, explicitly arguing that existing metrics are largely insensitive to hallucinations. FRANK then provided a human‑annotated benchmark and error taxonomy for factual errors in abstractive summaries, and used it to systematically compare factuality metrics and their correlation with human judgments.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works surfaced a previously under‑articulated problem: long-form outputs can be fluent and high‑ROUGE yet wrong about the world, and we have almost no tools to measure that. Elevating factuality to a first‑class evaluation axis for summarization seeded the broader agenda of evaluating truthfulness and faithfulness in long-form generation—articles, explanations, answers—rather than just surface similarity.</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evaluation and dataset pathologies in long‑form QA</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Krishna et al. studied long‑form QA on ELI5 and showed that a state‑of‑the‑art system can top the leaderboard while producing answers that (1) aren’t grounded in retrieved documents, (2) benefit from heavy train–validation leakage, (3) exploit ROUGE‑L, which is easily gamed and not informative, and (4) sit atop unreliable crowd‑based human evaluations.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reframed LFQA from “just another generation task” into a broken evaluation problem: open‑ended, paragraph‑length answers admit many valid realizations, making ROUGE and standard human protocols misleading. That diagnosis foreshadowed today’s focus on specialized evaluation for long‑form answers—expert judgements, grounding checks, and richer, aspect‑based metrics instead of simple overlap scores.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80"/>
        <w:tblGridChange w:id="0">
          <w:tblGrid>
            <w:gridCol w:w="1665"/>
            <w:gridCol w:w="7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Benchmarks that evaluate </w:t>
            </w:r>
            <w:r w:rsidDel="00000000" w:rsidR="00000000" w:rsidRPr="00000000">
              <w:rPr>
                <w:rFonts w:ascii="Times New Roman" w:cs="Times New Roman" w:eastAsia="Times New Roman" w:hAnsi="Times New Roman"/>
                <w:i w:val="1"/>
                <w:iCs w:val="1"/>
                <w:sz w:val="24"/>
                <w:szCs w:val="24"/>
                <w:rtl w:val="0"/>
              </w:rPr>
              <w:t xml:space="preserve">metrics</w:t>
            </w:r>
            <w:r w:rsidDel="00000000" w:rsidR="00000000" w:rsidRPr="00000000">
              <w:rPr>
                <w:rFonts w:ascii="Times New Roman" w:cs="Times New Roman" w:eastAsia="Times New Roman" w:hAnsi="Times New Roman"/>
                <w:sz w:val="24"/>
                <w:szCs w:val="24"/>
                <w:rtl w:val="0"/>
              </w:rPr>
              <w:t xml:space="preserve"> for open‑ended story generation</w:t>
            </w:r>
          </w:p>
        </w:tc>
      </w:tr>
      <w:tr>
        <w:trPr>
          <w:cantSplit w:val="0"/>
          <w:trHeight w:val="33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UNION introduced an unreferenced metric for open‑ended story generation, trained to distinguish human stories from perturbed ones with errors like repetition and long‑range incoherence, explicitly motivated by the “one‑to‑many” nature of stories where reference‑based metrics fail. OpenMEVA then built a dedicated benchmark to evaluate story‑generation metrics themselves—testing correlation with human judgments, generalization, coherence sensitivity, and robustness to perturbations—and found that many metrics struggle with discourse‑level quality. Chhun et al. 2022 extended this with HANNA, a story dataset annotated along six socially motivated human criteria, and showed how 72 automatic metrics misaligned with those criteria.</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articulated a new problem: how do we even define and measure “good” long narratives—coherence, interestingness, style—when there is no single gold reference? By turning long‑form story evaluation into a meta‑benchmark for metrics, it anticipated current efforts to build rich, human‑grounded evaluation schemes for open‑ended long-form generation (stories, essays, reviews) rather than relying on n‑gram overlap.</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Multi‑dimensional, cross‑task evaluation frameworks for long-form generation</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UniEval proposed a unified evaluator that reframes NLG evaluation as Boolean QA, using a single model queried with different prompts to score dimensions like coherence, fluency, relevance, and consistency across tasks such as summarization, dialogue, and data‑to‑text generation. In parallel, TRUE collected a standardized, human‑annotated suite spanning 11 grounded generation datasets and used it to meta‑evaluate factual consistency metrics at the example level, showing that many are task‑specific and brittle while large NLI/QA‑based approaches perform best.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made explicit that long-form generation quality is multi‑aspect (fluency, coherence, relevance, factuality, completeness) and cross‑task, and that we lack general evaluators that reflect this structure. That shift—from single scalar scores to multi‑dimensional, task‑agnostic evaluation—directly underlies today’s mainframe agenda of designing comprehensive, human‑aligned evaluation frameworks for long-form generation across summaries, answers, narratives, and reports.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