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75"/>
        <w:tblGridChange w:id="0">
          <w:tblGrid>
            <w:gridCol w:w="207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Empirical finding that long‑range LMs barely use context beyond ~2K tokens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Sun et al.’s “</w:t>
            </w:r>
            <w:r w:rsidDel="00000000" w:rsidR="00000000" w:rsidRPr="00000000">
              <w:rPr>
                <w:rFonts w:ascii="Times New Roman" w:cs="Times New Roman" w:eastAsia="Times New Roman" w:hAnsi="Times New Roman"/>
                <w:i w:val="1"/>
                <w:iCs w:val="1"/>
                <w:sz w:val="24"/>
                <w:szCs w:val="24"/>
                <w:rtl w:val="0"/>
              </w:rPr>
              <w:t xml:space="preserve">Do Long‑Range Language Models Actually Use Long‑Range Context?”</w:t>
            </w:r>
            <w:r w:rsidDel="00000000" w:rsidR="00000000" w:rsidRPr="00000000">
              <w:rPr>
                <w:rFonts w:ascii="Times New Roman" w:cs="Times New Roman" w:eastAsia="Times New Roman" w:hAnsi="Times New Roman"/>
                <w:sz w:val="24"/>
                <w:szCs w:val="24"/>
                <w:rtl w:val="0"/>
              </w:rPr>
              <w:t xml:space="preserve"> analyzed long‑range Transformer LMs (including Routing Transformer) on PG‑19 with input sequences up to 8K tokens and showed that context beyond the previous ~2K tokens only helps a small subset of tokens that can be copied from far away, with no real gain for sentence‑level predictions.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The False Promise of Support Context Length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surfaced a previously under‑articulated problem: large “supported” context windows do not mean models actually exploit distant tokens in a meaningful way, so most of the extra window behaves like dead memory. This directly foreshadows today’s skepticism that advertised context length overstates real long‑context support.</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885"/>
        <w:tblGridChange w:id="0">
          <w:tblGrid>
            <w:gridCol w:w="2160"/>
            <w:gridCol w:w="68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input‑length extrapolation as a failure mode of Transformers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Press et al.’s “</w:t>
            </w:r>
            <w:r w:rsidDel="00000000" w:rsidR="00000000" w:rsidRPr="00000000">
              <w:rPr>
                <w:rFonts w:ascii="Times New Roman" w:cs="Times New Roman" w:eastAsia="Times New Roman" w:hAnsi="Times New Roman"/>
                <w:i w:val="1"/>
                <w:iCs w:val="1"/>
                <w:sz w:val="24"/>
                <w:szCs w:val="24"/>
                <w:rtl w:val="0"/>
              </w:rPr>
              <w:t xml:space="preserve">Train Short, Test Long: Attention with Linear Biases Enables Input Length Extrapolation”</w:t>
            </w:r>
            <w:r w:rsidDel="00000000" w:rsidR="00000000" w:rsidRPr="00000000">
              <w:rPr>
                <w:rFonts w:ascii="Times New Roman" w:cs="Times New Roman" w:eastAsia="Times New Roman" w:hAnsi="Times New Roman"/>
                <w:sz w:val="24"/>
                <w:szCs w:val="24"/>
                <w:rtl w:val="0"/>
              </w:rPr>
              <w:t xml:space="preserve"> showed that standard positional encodings make Transformers struggle when evaluated on sequences longer than those seen in training, and introduced ALiBi to let a model trained on length‑1024 inputs match perplexity on length‑2048 inputs of a model trained directly at 2048.</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The False Promise of Support Context Length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crystallized a new problem: a model’s nominal context window is meaningless if it cannot generalize beyond its training lengths, so simply “supporting” more tokens does not guarantee usable performance on longer inputs. It anticipates the realization that context length is a brittle promise unless length extrapolation is explicitly addressed.</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170"/>
        <w:tblGridChange w:id="0">
          <w:tblGrid>
            <w:gridCol w:w="1875"/>
            <w:gridCol w:w="71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Exposing how standard absolute positional embeddings entangle position and content</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Ke et al.’s “</w:t>
            </w:r>
            <w:r w:rsidDel="00000000" w:rsidR="00000000" w:rsidRPr="00000000">
              <w:rPr>
                <w:rFonts w:ascii="Times New Roman" w:cs="Times New Roman" w:eastAsia="Times New Roman" w:hAnsi="Times New Roman"/>
                <w:i w:val="1"/>
                <w:iCs w:val="1"/>
                <w:sz w:val="24"/>
                <w:szCs w:val="24"/>
                <w:rtl w:val="0"/>
              </w:rPr>
              <w:t xml:space="preserve">Rethinking Positional Encoding in Language Pre‑training”</w:t>
            </w:r>
            <w:r w:rsidDel="00000000" w:rsidR="00000000" w:rsidRPr="00000000">
              <w:rPr>
                <w:rFonts w:ascii="Times New Roman" w:cs="Times New Roman" w:eastAsia="Times New Roman" w:hAnsi="Times New Roman"/>
                <w:sz w:val="24"/>
                <w:szCs w:val="24"/>
                <w:rtl w:val="0"/>
              </w:rPr>
              <w:t xml:space="preserve"> argued that adding absolute positional embeddings directly to word embeddings mixes heterogeneous signals and can inject noise into attention, proposing TUPE to factor content and positional correlations separately and showing gains on BERT‑style pre‑training and GLUE.</w:t>
            </w:r>
            <w:r w:rsidDel="00000000" w:rsidR="00000000" w:rsidRPr="00000000">
              <w:rPr>
                <w:rtl w:val="0"/>
              </w:rPr>
            </w:r>
          </w:p>
        </w:tc>
      </w:tr>
      <w:tr>
        <w:trPr>
          <w:cantSplit w:val="0"/>
          <w:trHeight w:val="20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The False Promise of Support Context Length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By revealing that naïve positional encodings themselves can distort how models use positions, this work highlighted a hidden problem: extending the context window atop brittle position representations may actually hurt or randomize long‑range behavior. That undercuts the simplistic idea that “more supported positions ⇒ better long‑context reasoning” and points to deeper positional‑representation limits behind the context‑length promise.</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155"/>
        <w:tblGridChange w:id="0">
          <w:tblGrid>
            <w:gridCol w:w="1890"/>
            <w:gridCol w:w="71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Long‑span summarization via local attention and explicit content selection instead of full‑document attention</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Manakul &amp; Gales’ “</w:t>
            </w:r>
            <w:r w:rsidDel="00000000" w:rsidR="00000000" w:rsidRPr="00000000">
              <w:rPr>
                <w:rFonts w:ascii="Times New Roman" w:cs="Times New Roman" w:eastAsia="Times New Roman" w:hAnsi="Times New Roman"/>
                <w:i w:val="1"/>
                <w:iCs w:val="1"/>
                <w:sz w:val="24"/>
                <w:szCs w:val="24"/>
                <w:rtl w:val="0"/>
              </w:rPr>
              <w:t xml:space="preserve">Long‑Span Summarization via Local Attention and Content Selection”</w:t>
            </w:r>
            <w:r w:rsidDel="00000000" w:rsidR="00000000" w:rsidRPr="00000000">
              <w:rPr>
                <w:rFonts w:ascii="Times New Roman" w:cs="Times New Roman" w:eastAsia="Times New Roman" w:hAnsi="Times New Roman"/>
                <w:sz w:val="24"/>
                <w:szCs w:val="24"/>
                <w:rtl w:val="0"/>
              </w:rPr>
              <w:t xml:space="preserve"> showed that fine‑tuning large pretrained Transformers for long‑document summarization is often infeasible due to quadratic attention costs, and proposed combining local self‑attention with a content‑selection mechanism, achieving state‑of‑the‑art ROUGE on long‑span summarization benchmarks like arXiv, PubMed, and Spotify Podcasts.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The False Promise of Support Context Length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implicitly pointed out that even if models </w:t>
            </w:r>
            <w:r w:rsidDel="00000000" w:rsidR="00000000" w:rsidRPr="00000000">
              <w:rPr>
                <w:rFonts w:ascii="Times New Roman" w:cs="Times New Roman" w:eastAsia="Times New Roman" w:hAnsi="Times New Roman"/>
                <w:i w:val="1"/>
                <w:iCs w:val="1"/>
                <w:sz w:val="24"/>
                <w:szCs w:val="24"/>
                <w:rtl w:val="0"/>
              </w:rPr>
              <w:t xml:space="preserve">nominally</w:t>
            </w:r>
            <w:r w:rsidDel="00000000" w:rsidR="00000000" w:rsidRPr="00000000">
              <w:rPr>
                <w:rFonts w:ascii="Times New Roman" w:cs="Times New Roman" w:eastAsia="Times New Roman" w:hAnsi="Times New Roman"/>
                <w:sz w:val="24"/>
                <w:szCs w:val="24"/>
                <w:rtl w:val="0"/>
              </w:rPr>
              <w:t xml:space="preserve"> support long inputs, full global attention over every token is computationally and statistically unrealistic, forcing architectures to prioritize and segment. It foreshadows today’s critique that “supporting” long context is mostly a UI/engineering promise, while in practice models rely on local windows and selection, not true uniform use of the whole context.</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30"/>
        <w:tblGridChange w:id="0">
          <w:tblGrid>
            <w:gridCol w:w="2115"/>
            <w:gridCol w:w="69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Demonstration that long‑document summarizers are factually unreliable despite long‑input support and strong ROUGE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Koh et al.’s </w:t>
            </w:r>
            <w:r w:rsidDel="00000000" w:rsidR="00000000" w:rsidRPr="00000000">
              <w:rPr>
                <w:rFonts w:ascii="Times New Roman" w:cs="Times New Roman" w:eastAsia="Times New Roman" w:hAnsi="Times New Roman"/>
                <w:i w:val="1"/>
                <w:iCs w:val="1"/>
                <w:sz w:val="24"/>
                <w:szCs w:val="24"/>
                <w:rtl w:val="0"/>
              </w:rPr>
              <w:t xml:space="preserve">How Far Are We from Robust Long Abstractive Summarization?</w:t>
            </w:r>
            <w:r w:rsidDel="00000000" w:rsidR="00000000" w:rsidRPr="00000000">
              <w:rPr>
                <w:rFonts w:ascii="Times New Roman" w:cs="Times New Roman" w:eastAsia="Times New Roman" w:hAnsi="Times New Roman"/>
                <w:sz w:val="24"/>
                <w:szCs w:val="24"/>
                <w:rtl w:val="0"/>
              </w:rPr>
              <w:t xml:space="preserve"> conducted fine‑grained human evaluation of long‑document summarization systems and metrics, finding that chasing better ROUGE on long inputs yields more </w:t>
            </w:r>
            <w:r w:rsidDel="00000000" w:rsidR="00000000" w:rsidRPr="00000000">
              <w:rPr>
                <w:rFonts w:ascii="Times New Roman" w:cs="Times New Roman" w:eastAsia="Times New Roman" w:hAnsi="Times New Roman"/>
                <w:i w:val="1"/>
                <w:iCs w:val="1"/>
                <w:sz w:val="24"/>
                <w:szCs w:val="24"/>
                <w:rtl w:val="0"/>
              </w:rPr>
              <w:t xml:space="preserve">relevant</w:t>
            </w:r>
            <w:r w:rsidDel="00000000" w:rsidR="00000000" w:rsidRPr="00000000">
              <w:rPr>
                <w:rFonts w:ascii="Times New Roman" w:cs="Times New Roman" w:eastAsia="Times New Roman" w:hAnsi="Times New Roman"/>
                <w:sz w:val="24"/>
                <w:szCs w:val="24"/>
                <w:rtl w:val="0"/>
              </w:rPr>
              <w:t xml:space="preserve"> but not reliably </w:t>
            </w:r>
            <w:r w:rsidDel="00000000" w:rsidR="00000000" w:rsidRPr="00000000">
              <w:rPr>
                <w:rFonts w:ascii="Times New Roman" w:cs="Times New Roman" w:eastAsia="Times New Roman" w:hAnsi="Times New Roman"/>
                <w:i w:val="1"/>
                <w:iCs w:val="1"/>
                <w:sz w:val="24"/>
                <w:szCs w:val="24"/>
                <w:rtl w:val="0"/>
              </w:rPr>
              <w:t xml:space="preserve">factual</w:t>
            </w:r>
            <w:r w:rsidDel="00000000" w:rsidR="00000000" w:rsidRPr="00000000">
              <w:rPr>
                <w:rFonts w:ascii="Times New Roman" w:cs="Times New Roman" w:eastAsia="Times New Roman" w:hAnsi="Times New Roman"/>
                <w:sz w:val="24"/>
                <w:szCs w:val="24"/>
                <w:rtl w:val="0"/>
              </w:rPr>
              <w:t xml:space="preserve"> summaries, and that common factuality metrics miss many error types.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The False Promise of Support Context Length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exposed a new problem: even when models can ingest long documents, their outputs over those contexts can be systematically unfaithful and our metrics fail to reflect that. This undermines the implicit promise that “if the model supports the whole document, the summary will be trustworthy,” shifting attention to robustness and factuality as core long‑context failure modes.</w:t>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