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Long-range narrative suffix identification revealing perplexity–accuracy mismatch</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Sun et al. introduced the CHAPTERBREAK benchmark, where long-range LMs must choose the correct next-chapter segment given an ~8K‑token prefix, and found that state-of-the-art long-range Transformers with strong PG‑19 perplexity perform surprisingly poorly on this task. They explicitly showed that word-level suffix perplexity does not correlate with suffix-identification accuracy—for example, GPT‑2 has higher suffix perplexity yet outperforms some long-range models on the CHAPTERBREAK task.</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Relevance of Long Context Perplexity and Real-World 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reframed evaluation from “lower long-context perplexity is better” to “can the model actually pick the right continuation under realistic long-document conditions?”, exposing that long-context perplexity alone misses core aspects of narrative understanding. It thus surfaced a previously under-specified problem: designing evaluation schemes where long-context perplexity is meaningfully tied to task success instead of being dominated by context-irrelevant tokens.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Fine-grained analyses showing long-range context barely affects aggregate perplexity</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“Do Long-Range Language Models Actually Use Long-Range Context?”, Sun et al. analysed long-range Transformers on PG‑19 and found that increasing prefix length beyond ~2K tokens yields negligible aggregate perplexity improvements, with gains concentrated on a small subset of copyable or infrequent tokens. They further showed that heavily perturbing distant context has little effect on perplexity and that long-range context is largely unused for sequence-level prediction tasks.</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Relevance of Long Context Perplexity and Real-World 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demonstrating that long-context perplexity gains arise from a narrow slice of tokens and that models scarcely exploit distant context, this work exposed an evaluation problem: conventional perplexity curves can create the illusion of strong long-context modelling even when genuine long-range understanding is absent. This opened up the now-central question of how to separate “perplexity improvements from shallow copying” from improvements that actually matter for long-context downstream performance.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Same-perplexity language models exhibiting radically different long-form generation quality</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Welleck et al.’s “Neural Text Degeneration with Unlikelihood Training” analysed repetition and degeneration in open-ended generation and showed that maximum-likelihood training can yield highly repetitive, low-quality text, while unlikelihood training substantially reduces degeneration without worsening perplexity. They highlighted that two models with almost identical perplexity can have wildly different generation behaviour and human-rated quality.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Relevance of Long Context Perplexity and Real-World 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surfaced a new problem: perplexity parity does not imply comparable real-world behaviour, especially for long open-ended generations where degeneration is most visible. It directly challenged the assumption that lower perplexity monotonically predicts better user-facing performance and paved the way for questioning whether long-context perplexity is an adequate proxy for long-context capabilities.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Tokenisation-induced distortions in perplexity as an evaluation signal</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Cao et al.’s “You should evaluate your language model on marginal likelihood over tokenisations” argued that standard perplexity under a single “one-best” tokenisation entangles tokeniser and model quality, and proposed estimating marginal likelihood over many tokenisations via importance sampling. They showed substantial gaps between one-best and marginal likelihood, especially out-of-domain, implying that conventional perplexity can misrepresent a model’s true uncertainty and generalisation.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Relevance of Long Context Perplexity and Real-World 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revealing that perplexity itself is a fragile construct whose value depends heavily on tokenisation choices and domain, this work raised the problem of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our perplexity numbers are actually measuring. That concern naturally extends to long-context settings, foreshadowing today’s focus on whether long-context perplexity—computed under a particular segmentation and windowing scheme—really tracks the abilities that matter for real-world long-context tasks.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85"/>
        <w:tblGridChange w:id="0">
          <w:tblGrid>
            <w:gridCol w:w="2460"/>
            <w:gridCol w:w="65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Identical pre-training loss with divergent downstream performance due to implicit bias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et al.’s “Same Pre-training Loss, Better Downstream: Implicit Bias Matters for Language Models” showed that models with effectively the same pre-training loss (or perplexity) can have markedly different downstream accuracies, depending on factors like model size, training duration after loss convergence, and optimisation procedure. They found that flatness of the loss landscape correlates with downstream performance in regimes where pre-training loss no longer differentiates models.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Relevance of Long Context Perplexity and Real-World Performance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posed a new problem for evaluation: if pre-training perplexity is not a sufficient scalar summary of a model’s future usefulness, especially once loss has “saturated,” then using long-context perplexity as the sole target and proxy for capability is fundamentally inadequate. It pointed research toward finding additional or alternative metrics—and task-grounded evaluations—that better capture real-world performance, including in the long-context regime.</w:t>
            </w:r>
          </w:p>
        </w:tc>
      </w:tr>
    </w:tbl>
    <w:p w:rsidR="00000000" w:rsidDel="00000000" w:rsidP="00000000" w:rsidRDefault="00000000" w:rsidRPr="00000000" w14:paraId="00000032">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