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390"/>
        <w:tblGridChange w:id="0">
          <w:tblGrid>
            <w:gridCol w:w="2655"/>
            <w:gridCol w:w="63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Principle‑driven long‑context benchmark for efficient Transformers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Tay et al. introduced Long Range Arena (LRA), a suite of synthetic and real‑world tasks with sequences up to 16K tokens, designed with explicit desiderata—generality, long inputs, diversity of skills, and low compute cost—to systematically benchmark sequence models under long‑context scenarios, including byte‑level text classification and document retrieval.</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More Reliable Evaluation Framework for Long Context Language Modeling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LRA reframed evaluation as “how do architectures behave across multiple long‑range tasks under controlled, comparable conditions?”, rather than just “what’s the perplexity on one corpus.” That shift toward a principled, multi‑task, long‑sequence benchmark is a direct precursor to today’s more reliable evaluation frameworks for long context language modeling.</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375"/>
        <w:tblGridChange w:id="0">
          <w:tblGrid>
            <w:gridCol w:w="2670"/>
            <w:gridCol w:w="63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Unified multi‑task benchmark over naturally long texts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Shaham et al. proposed SCROLLS, a benchmark suite of summarization, QA and NLI tasks built only from naturally long documents (often tens of thousands of tokens), reformatted into a unified text‑to‑text interface with a live leaderboard, explicitly addressing the gap that most NLP benchmarks used short sentences or paragraphs.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More Reliable Evaluation Framework for Long Context Language Modeling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SCROLLS articulated a new evaluation problem: we lacked a standardized way to compare models’ behavior across many long‑sequence tasks and domains. By forcing long texts, unified formats, and head‑to‑head comparisons, it seeded the modern agenda of evaluation frameworks that stress long‑context modeling reliability beyond isolated metrics or toy datasets.</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450"/>
        <w:tblGridChange w:id="0">
          <w:tblGrid>
            <w:gridCol w:w="2595"/>
            <w:gridCol w:w="64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 ultra‑long document benchmark with 10K+ token inputs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Hudson &amp; Al Moubayed introduced MuLD, a multitask benchmark where every example is a document over 10,000 tokens, spanning translation, summarization, QA, and classification; they showed MuLD is far harder than short‑document counterparts and used it to compare regular vs efficient Transformers on genuinely long‑range dependencies.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More Reliable Evaluation Framework for Long Context Language Modeling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MuLD made explicit that many “long text” benchmarks still operate at only a few thousand tokens and don’t capture the failure modes of truly long documents, highlighting the need for evaluation frameworks that probe extreme context lengths and cross‑task behavior. This directly anticipates today’s push for more realistic, reliability‑focused long‑context LM evaluations.</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6615"/>
        <w:tblGridChange w:id="0">
          <w:tblGrid>
            <w:gridCol w:w="2430"/>
            <w:gridCol w:w="66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Suffix‑identification challenge that moves beyond token‑level perplexity</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Sun et al.’s “A Challenge Dataset for Long‑Range Language Models” built CHAPTERBREAK, where a long‑range LM sees up to 8K tokens of narrative and must pick the true next chapter segment from hard negatives; they explicitly “move beyond token‑level perplexity” and show that word‑level perplexity on the gold suffix does </w:t>
            </w:r>
            <w:r w:rsidDel="00000000" w:rsidR="00000000" w:rsidRPr="00000000">
              <w:rPr>
                <w:rFonts w:ascii="Times New Roman" w:cs="Times New Roman" w:eastAsia="Times New Roman" w:hAnsi="Times New Roman"/>
                <w:i w:val="1"/>
                <w:i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reliably predict suffix‑identification accuracy.</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More Reliable Evaluation Framework for Long Context Language Modeling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CHAPTERBREAK pinpointed a concrete mismatch: good long‑context perplexity can coexist with poor performance on tasks that actually require long‑range narrative understanding, and argued for alternative evaluation tasks like suffix identification. That diagnosis is central to modern frameworks that combine perplexity with task‑grounded, long‑context stress tests to get more reliable LM evaluation.</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810"/>
        <w:tblGridChange w:id="0">
          <w:tblGrid>
            <w:gridCol w:w="2235"/>
            <w:gridCol w:w="68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Context‑manipulation analysis showing long‑range LMs barely use added context</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i w:val="1"/>
                <w:iCs w:val="1"/>
                <w:sz w:val="24"/>
                <w:szCs w:val="24"/>
                <w:rtl w:val="0"/>
              </w:rPr>
              <w:t xml:space="preserve">Do Long‑Range Language Models Actually Use Long‑Range Context?”</w:t>
            </w:r>
            <w:r w:rsidDel="00000000" w:rsidR="00000000" w:rsidRPr="00000000">
              <w:rPr>
                <w:rFonts w:ascii="Times New Roman" w:cs="Times New Roman" w:eastAsia="Times New Roman" w:hAnsi="Times New Roman"/>
                <w:sz w:val="24"/>
                <w:szCs w:val="24"/>
                <w:rtl w:val="0"/>
              </w:rPr>
              <w:t xml:space="preserve">, Sun et al. evaluated Routing and Local Transformers on PG‑19 by varying prefix length and perturbing distant tokens, finding that validation perplexity quickly plateaus beyond ~2K tokens and that shuffling or replacing up to 6K prefix tokens barely affects overall perplexity, with only small subsets of tokens benefiting from long‑range context.</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More Reliable Evaluation Framework for Long Context Language Modeling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revealing that standard long‑context LM evaluation (perplexity on long books) can be insensitive to whether models actually use far‑back context, this work implicitly called for new evaluation frameworks that probe context usage directly (via interventions, targeted token subsets, or auxiliary tasks), rather than trusting raw long‑context perplexity. That problem framing feeds directly into today’s efforts to design more reliable, behavior‑focused evaluations for long‑context language modeling.</w:t>
            </w:r>
          </w:p>
        </w:tc>
      </w:tr>
    </w:tbl>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