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915"/>
        <w:tblGridChange w:id="0">
          <w:tblGrid>
            <w:gridCol w:w="2130"/>
            <w:gridCol w:w="69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“faithfulness vs plausibility” explicit for explanations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“Towards Faithfully Interpretable NLP Systems”</w:t>
            </w:r>
            <w:r w:rsidDel="00000000" w:rsidR="00000000" w:rsidRPr="00000000">
              <w:rPr>
                <w:rFonts w:ascii="Times New Roman" w:cs="Times New Roman" w:eastAsia="Times New Roman" w:hAnsi="Times New Roman"/>
                <w:sz w:val="24"/>
                <w:szCs w:val="24"/>
                <w:rtl w:val="0"/>
              </w:rPr>
              <w:t xml:space="preserve"> argued that explanations should be evaluated by faithfulness—whether they reflect the model’s actual decision process—rather than just by readability or how convincing they look, and laid out criteria and pitfalls for evaluating faithfulness in NLP.</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it was</w:t>
            </w:r>
            <w:r w:rsidDel="00000000" w:rsidR="00000000" w:rsidRPr="00000000">
              <w:rPr>
                <w:rFonts w:ascii="Times New Roman" w:cs="Times New Roman" w:eastAsia="Times New Roman" w:hAnsi="Times New Roman"/>
                <w:sz w:val="24"/>
                <w:szCs w:val="24"/>
                <w:rtl w:val="0"/>
              </w:rPr>
              <w:t xml:space="preserve">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insisting that plausible natural‑language explanations can be misleading if they don’t match the internal reasoning, this work created a new problem: should we optimize models only for good </w:t>
            </w:r>
            <w:r w:rsidDel="00000000" w:rsidR="00000000" w:rsidRPr="00000000">
              <w:rPr>
                <w:rFonts w:ascii="Times New Roman" w:cs="Times New Roman" w:eastAsia="Times New Roman" w:hAnsi="Times New Roman"/>
                <w:i w:val="1"/>
                <w:iCs w:val="1"/>
                <w:sz w:val="24"/>
                <w:szCs w:val="24"/>
                <w:rtl w:val="0"/>
              </w:rPr>
              <w:t xml:space="preserve">outcomes</w:t>
            </w:r>
            <w:r w:rsidDel="00000000" w:rsidR="00000000" w:rsidRPr="00000000">
              <w:rPr>
                <w:rFonts w:ascii="Times New Roman" w:cs="Times New Roman" w:eastAsia="Times New Roman" w:hAnsi="Times New Roman"/>
                <w:sz w:val="24"/>
                <w:szCs w:val="24"/>
                <w:rtl w:val="0"/>
              </w:rPr>
              <w:t xml:space="preserve"> (accurate predictions and plausible explanations), or also for the </w:t>
            </w:r>
            <w:r w:rsidDel="00000000" w:rsidR="00000000" w:rsidRPr="00000000">
              <w:rPr>
                <w:rFonts w:ascii="Times New Roman" w:cs="Times New Roman" w:eastAsia="Times New Roman" w:hAnsi="Times New Roman"/>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that leads to them? That conceptual split is exactly what later becomes the “process‑based vs outcome‑based” reward debate.</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7065"/>
        <w:tblGridChange w:id="0">
          <w:tblGrid>
            <w:gridCol w:w="1980"/>
            <w:gridCol w:w="70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label–rationale association for free‑text explanations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“Measuring Association Between Labels and Free‑Text Rationales”</w:t>
            </w:r>
            <w:r w:rsidDel="00000000" w:rsidR="00000000" w:rsidRPr="00000000">
              <w:rPr>
                <w:rFonts w:ascii="Times New Roman" w:cs="Times New Roman" w:eastAsia="Times New Roman" w:hAnsi="Times New Roman"/>
                <w:sz w:val="24"/>
                <w:szCs w:val="24"/>
                <w:rtl w:val="0"/>
              </w:rPr>
              <w:t xml:space="preserve"> introduced tests for whether a model’s generated explanation is actually tied to its prediction, via robustness‑equivalence and feature‑importance‑agreement metrics on NLI and QA with free‑text rationales.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it was</w:t>
            </w:r>
            <w:r w:rsidDel="00000000" w:rsidR="00000000" w:rsidRPr="00000000">
              <w:rPr>
                <w:rFonts w:ascii="Times New Roman" w:cs="Times New Roman" w:eastAsia="Times New Roman" w:hAnsi="Times New Roman"/>
                <w:sz w:val="24"/>
                <w:szCs w:val="24"/>
                <w:rtl w:val="0"/>
              </w:rPr>
              <w:t xml:space="preserve">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showed that explanations can drift away from the true decision mechanism even when label accuracy looks good, posing a new problem: objectives that only reward correct </w:t>
            </w:r>
            <w:r w:rsidDel="00000000" w:rsidR="00000000" w:rsidRPr="00000000">
              <w:rPr>
                <w:rFonts w:ascii="Times New Roman" w:cs="Times New Roman" w:eastAsia="Times New Roman" w:hAnsi="Times New Roman"/>
                <w:i w:val="1"/>
                <w:iCs w:val="1"/>
                <w:sz w:val="24"/>
                <w:szCs w:val="24"/>
                <w:rtl w:val="0"/>
              </w:rPr>
              <w:t xml:space="preserve">outcomes</w:t>
            </w:r>
            <w:r w:rsidDel="00000000" w:rsidR="00000000" w:rsidRPr="00000000">
              <w:rPr>
                <w:rFonts w:ascii="Times New Roman" w:cs="Times New Roman" w:eastAsia="Times New Roman" w:hAnsi="Times New Roman"/>
                <w:sz w:val="24"/>
                <w:szCs w:val="24"/>
                <w:rtl w:val="0"/>
              </w:rPr>
              <w:t xml:space="preserve"> or plausible rationales may fail to align the underlying </w:t>
            </w:r>
            <w:r w:rsidDel="00000000" w:rsidR="00000000" w:rsidRPr="00000000">
              <w:rPr>
                <w:rFonts w:ascii="Times New Roman" w:cs="Times New Roman" w:eastAsia="Times New Roman" w:hAnsi="Times New Roman"/>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That need to distinguish “process alignment” from “outcome alignment” is a direct precursor to today’s reward‑type framing.</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110"/>
        <w:tblGridChange w:id="0">
          <w:tblGrid>
            <w:gridCol w:w="1935"/>
            <w:gridCol w:w="711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Scratchpads and chain‑of‑thought – verbalizing intermediate reasoning steps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“Show Your Work: Scratchpads for Intermediate Computation with Language Models”</w:t>
            </w:r>
            <w:r w:rsidDel="00000000" w:rsidR="00000000" w:rsidRPr="00000000">
              <w:rPr>
                <w:rFonts w:ascii="Times New Roman" w:cs="Times New Roman" w:eastAsia="Times New Roman" w:hAnsi="Times New Roman"/>
                <w:sz w:val="24"/>
                <w:szCs w:val="24"/>
                <w:rtl w:val="0"/>
              </w:rPr>
              <w:t xml:space="preserve"> showed that prompting transformers to emit step‑by‑step scratchpad computations unlocks strong performance on multi‑step tasks like long addition and program execution; shortly after, chain‑of‑thought prompting demonstrated that giving few CoT exemplars prompts large LMs to generate natural‑language reasoning chains that dramatically improve accuracy on arithmetic, commonsense, and symbolic reasoning tasks.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it was</w:t>
            </w:r>
            <w:r w:rsidDel="00000000" w:rsidR="00000000" w:rsidRPr="00000000">
              <w:rPr>
                <w:rFonts w:ascii="Times New Roman" w:cs="Times New Roman" w:eastAsia="Times New Roman" w:hAnsi="Times New Roman"/>
                <w:sz w:val="24"/>
                <w:szCs w:val="24"/>
                <w:rtl w:val="0"/>
              </w:rPr>
              <w:t xml:space="preserve">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models started producing explicit reasoning traces, a new problem emerged: should training and evaluation reward only the </w:t>
            </w:r>
            <w:r w:rsidDel="00000000" w:rsidR="00000000" w:rsidRPr="00000000">
              <w:rPr>
                <w:rFonts w:ascii="Times New Roman" w:cs="Times New Roman" w:eastAsia="Times New Roman" w:hAnsi="Times New Roman"/>
                <w:i w:val="1"/>
                <w:iCs w:val="1"/>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answer, or also the </w:t>
            </w:r>
            <w:r w:rsidDel="00000000" w:rsidR="00000000" w:rsidRPr="00000000">
              <w:rPr>
                <w:rFonts w:ascii="Times New Roman" w:cs="Times New Roman" w:eastAsia="Times New Roman" w:hAnsi="Times New Roman"/>
                <w:i w:val="1"/>
                <w:iCs w:val="1"/>
                <w:sz w:val="24"/>
                <w:szCs w:val="24"/>
                <w:rtl w:val="0"/>
              </w:rPr>
              <w:t xml:space="preserve">correctness and faithfulness</w:t>
            </w:r>
            <w:r w:rsidDel="00000000" w:rsidR="00000000" w:rsidRPr="00000000">
              <w:rPr>
                <w:rFonts w:ascii="Times New Roman" w:cs="Times New Roman" w:eastAsia="Times New Roman" w:hAnsi="Times New Roman"/>
                <w:sz w:val="24"/>
                <w:szCs w:val="24"/>
                <w:rtl w:val="0"/>
              </w:rPr>
              <w:t xml:space="preserve"> of the intermediate steps? This split between supervising the verbalized process versus just the outcome is the core of the later “process vs outcome reward” framing.</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6930"/>
        <w:tblGridChange w:id="0">
          <w:tblGrid>
            <w:gridCol w:w="2115"/>
            <w:gridCol w:w="69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Verifier models judging full solutions, not just answers, for math word problems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“Training Verifiers to Solve Math Word Problems”</w:t>
            </w:r>
            <w:r w:rsidDel="00000000" w:rsidR="00000000" w:rsidRPr="00000000">
              <w:rPr>
                <w:rFonts w:ascii="Times New Roman" w:cs="Times New Roman" w:eastAsia="Times New Roman" w:hAnsi="Times New Roman"/>
                <w:sz w:val="24"/>
                <w:szCs w:val="24"/>
                <w:rtl w:val="0"/>
              </w:rPr>
              <w:t xml:space="preserve"> introduced GSM8K and improved performance by training a separate verifier that reads entire natural‑language solutions and predicts correctness; at test time, the system samples many solutions and picks the one with the highest verifier score, rather than training the generator purely on answer labels.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w:t>
            </w:r>
            <w:r w:rsidDel="00000000" w:rsidR="00000000" w:rsidRPr="00000000">
              <w:rPr>
                <w:rFonts w:ascii="Times New Roman" w:cs="Times New Roman" w:eastAsia="Times New Roman" w:hAnsi="Times New Roman"/>
                <w:sz w:val="24"/>
                <w:szCs w:val="24"/>
                <w:rtl w:val="0"/>
              </w:rPr>
              <w:t xml:space="preserve">it was</w:t>
            </w:r>
            <w:r w:rsidDel="00000000" w:rsidR="00000000" w:rsidRPr="00000000">
              <w:rPr>
                <w:rFonts w:ascii="Times New Roman" w:cs="Times New Roman" w:eastAsia="Times New Roman" w:hAnsi="Times New Roman"/>
                <w:sz w:val="24"/>
                <w:szCs w:val="24"/>
                <w:rtl w:val="0"/>
              </w:rPr>
              <w:t xml:space="preserve">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decoupling generation and evaluation and letting a verifier read the full reasoning trace, this approach implicitly </w:t>
            </w:r>
            <w:r w:rsidDel="00000000" w:rsidR="00000000" w:rsidRPr="00000000">
              <w:rPr>
                <w:rFonts w:ascii="Times New Roman" w:cs="Times New Roman" w:eastAsia="Times New Roman" w:hAnsi="Times New Roman"/>
                <w:sz w:val="24"/>
                <w:szCs w:val="24"/>
                <w:rtl w:val="0"/>
              </w:rPr>
              <w:t xml:space="preserve">raised</w:t>
            </w:r>
            <w:r w:rsidDel="00000000" w:rsidR="00000000" w:rsidRPr="00000000">
              <w:rPr>
                <w:rFonts w:ascii="Times New Roman" w:cs="Times New Roman" w:eastAsia="Times New Roman" w:hAnsi="Times New Roman"/>
                <w:sz w:val="24"/>
                <w:szCs w:val="24"/>
                <w:rtl w:val="0"/>
              </w:rPr>
              <w:t xml:space="preserve"> the question: is the “reward signal” about answer correctness or about the quality of the whole solution process? That tension—rewarding outcomes vs rewarding processes—became a central problem once people started thinking of verifiers and reward models as interchangeable pieces.</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6975"/>
        <w:tblGridChange w:id="0">
          <w:tblGrid>
            <w:gridCol w:w="2070"/>
            <w:gridCol w:w="69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from rationales – when optimizing explanations diverges from optimizing answers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“Self‑training with Few‑shot Rationalization”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What to Learn, and How: Toward Effective Learning from Rationales”</w:t>
            </w:r>
            <w:r w:rsidDel="00000000" w:rsidR="00000000" w:rsidRPr="00000000">
              <w:rPr>
                <w:rFonts w:ascii="Times New Roman" w:cs="Times New Roman" w:eastAsia="Times New Roman" w:hAnsi="Times New Roman"/>
                <w:sz w:val="24"/>
                <w:szCs w:val="24"/>
                <w:rtl w:val="0"/>
              </w:rPr>
              <w:t xml:space="preserve"> proposed training schemes where models learn from both labels and human or teacher‑provided rationales, and showed that naively maximizing rationale supervision or rationale accuracy does not necessarily maximize task accuracy because rationales differ in how informative and sufficient they are for prediction.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Reward Type: Process or Outcome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surfaced a new, concrete question: should learning objectives prioritize better outcomes (labels) or better processes (rationales), and how do we trade them off when they conflict? That mismatch between “rewarding explanations” and “rewarding answers” is an early, non‑RL version of the modern dilemma between process‑based and outcome‑based reward design.</w:t>
            </w:r>
          </w:p>
        </w:tc>
      </w:tr>
    </w:tbl>
    <w:p w:rsidR="00000000" w:rsidDel="00000000" w:rsidP="00000000" w:rsidRDefault="00000000" w:rsidRPr="00000000" w14:paraId="00000032">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