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315"/>
        <w:tblGridChange w:id="0">
          <w:tblGrid>
            <w:gridCol w:w="2730"/>
            <w:gridCol w:w="63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related-work sections from cited papers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Multi‑XScience introduced a large-scale multi‑document summarization dataset where the task is to write a paper’s related‑work section given its abstract and the abstracts of the papers it cites. It framed related‑work writing as </w:t>
            </w:r>
            <w:r w:rsidDel="00000000" w:rsidR="00000000" w:rsidRPr="00000000">
              <w:rPr>
                <w:rFonts w:ascii="Times New Roman" w:cs="Times New Roman" w:eastAsia="Times New Roman" w:hAnsi="Times New Roman"/>
                <w:i w:val="1"/>
                <w:iCs w:val="1"/>
                <w:sz w:val="24"/>
                <w:szCs w:val="24"/>
                <w:rtl w:val="0"/>
              </w:rPr>
              <w:t xml:space="preserve">extreme</w:t>
            </w:r>
            <w:r w:rsidDel="00000000" w:rsidR="00000000" w:rsidRPr="00000000">
              <w:rPr>
                <w:rFonts w:ascii="Times New Roman" w:cs="Times New Roman" w:eastAsia="Times New Roman" w:hAnsi="Times New Roman"/>
                <w:sz w:val="24"/>
                <w:szCs w:val="24"/>
                <w:rtl w:val="0"/>
              </w:rPr>
              <w:t xml:space="preserve"> abstractive summarization over multiple scientific articles, with baselines showing the task is far harder than single‑document scientific summarization.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t>
            </w:r>
            <w:r w:rsidDel="00000000" w:rsidR="00000000" w:rsidRPr="00000000">
              <w:rPr>
                <w:rFonts w:ascii="Times New Roman" w:cs="Times New Roman" w:eastAsia="Times New Roman" w:hAnsi="Times New Roman"/>
                <w:sz w:val="24"/>
                <w:szCs w:val="24"/>
                <w:rtl w:val="0"/>
              </w:rPr>
              <w:t xml:space="preserve">it was</w:t>
            </w:r>
            <w:r w:rsidDel="00000000" w:rsidR="00000000" w:rsidRPr="00000000">
              <w:rPr>
                <w:rFonts w:ascii="Times New Roman" w:cs="Times New Roman" w:eastAsia="Times New Roman" w:hAnsi="Times New Roman"/>
                <w:sz w:val="24"/>
                <w:szCs w:val="24"/>
                <w:rtl w:val="0"/>
              </w:rPr>
              <w:t xml:space="preserve"> a problem-space weak signal for Full-Automatic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effectively defined a new problem: can a system read multiple prior papers and autonomously produce a coherent narrative of “what the field already knows”? That’s exactly a core sub‑problem of full‑automatic scientific comprehension—automatically distilling prior work into structured text without human questions or hand‑crafted guidance.</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35"/>
        <w:tblGridChange w:id="0">
          <w:tblGrid>
            <w:gridCol w:w="2610"/>
            <w:gridCol w:w="64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Multi-document summarization of medical studies for evidence synthesis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MS² released a dataset of ~470k medical studies and ~20k systematic‑review summaries, defining a </w:t>
            </w:r>
            <w:r w:rsidDel="00000000" w:rsidR="00000000" w:rsidRPr="00000000">
              <w:rPr>
                <w:rFonts w:ascii="Times New Roman" w:cs="Times New Roman" w:eastAsia="Times New Roman" w:hAnsi="Times New Roman"/>
                <w:sz w:val="24"/>
                <w:szCs w:val="24"/>
                <w:rtl w:val="0"/>
              </w:rPr>
              <w:t xml:space="preserve">texts</w:t>
            </w:r>
            <w:r w:rsidDel="00000000" w:rsidR="00000000" w:rsidRPr="00000000">
              <w:rPr>
                <w:rFonts w:ascii="Times New Roman" w:cs="Times New Roman" w:eastAsia="Times New Roman" w:hAnsi="Times New Roman"/>
                <w:sz w:val="24"/>
                <w:szCs w:val="24"/>
                <w:rtl w:val="0"/>
              </w:rPr>
              <w:t xml:space="preserve">‑to‑text multi‑document summarization task where systems must aggregate findings from many clinical trials into concise review-style summaries. The authors explicitly positioned it as a step toward automating parts of medical literature reviews, showing BART-based models could produce fluent but still imperfect evidence summaries.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t>
            </w:r>
            <w:r w:rsidDel="00000000" w:rsidR="00000000" w:rsidRPr="00000000">
              <w:rPr>
                <w:rFonts w:ascii="Times New Roman" w:cs="Times New Roman" w:eastAsia="Times New Roman" w:hAnsi="Times New Roman"/>
                <w:sz w:val="24"/>
                <w:szCs w:val="24"/>
                <w:rtl w:val="0"/>
              </w:rPr>
              <w:t xml:space="preserve">it was</w:t>
            </w:r>
            <w:r w:rsidDel="00000000" w:rsidR="00000000" w:rsidRPr="00000000">
              <w:rPr>
                <w:rFonts w:ascii="Times New Roman" w:cs="Times New Roman" w:eastAsia="Times New Roman" w:hAnsi="Times New Roman"/>
                <w:sz w:val="24"/>
                <w:szCs w:val="24"/>
                <w:rtl w:val="0"/>
              </w:rPr>
              <w:t xml:space="preserve"> a problem-space weak signal for Full-Automatic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MS² posed a qualitatively new problem: read dozens of technical studies and autonomously generate a high-level evidence summary, approximating what human reviewers write. This moved beyond “assistive” tools toward the end‑to‑end automatic comprehension of scientific corpora, foreshadowing today’s ambitions to fully automate systematic evidence synthesis.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495"/>
        <w:tblGridChange w:id="0">
          <w:tblGrid>
            <w:gridCol w:w="2550"/>
            <w:gridCol w:w="64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Topic-centric unsupervised multi-document summarization of scientific articles</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Alambo et al. proposed a topic‑centric unsupervised multi‑document summarization framework that generates extractive and abstractive summaries for groups of scientific papers across 20 fields in Microsoft Academic Graph, without using task-specific labeled data. They emphasized that accurate abstractive summarization of document clusters had “remained elusive” and introduced MAG‑20, a human‑validated gold‑standard dataset of topic‑clustered research articles and summaries.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t>
            </w:r>
            <w:r w:rsidDel="00000000" w:rsidR="00000000" w:rsidRPr="00000000">
              <w:rPr>
                <w:rFonts w:ascii="Times New Roman" w:cs="Times New Roman" w:eastAsia="Times New Roman" w:hAnsi="Times New Roman"/>
                <w:sz w:val="24"/>
                <w:szCs w:val="24"/>
                <w:rtl w:val="0"/>
              </w:rPr>
              <w:t xml:space="preserve">it was</w:t>
            </w:r>
            <w:r w:rsidDel="00000000" w:rsidR="00000000" w:rsidRPr="00000000">
              <w:rPr>
                <w:rFonts w:ascii="Times New Roman" w:cs="Times New Roman" w:eastAsia="Times New Roman" w:hAnsi="Times New Roman"/>
                <w:sz w:val="24"/>
                <w:szCs w:val="24"/>
                <w:rtl w:val="0"/>
              </w:rPr>
              <w:t xml:space="preserve"> a problem-space weak signal for Full-Automatic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tackling fully automatic, topic‑level summarization of scientific clusters in an unsupervised way, this work reframed the challenge as: can models autonomously discover themes and synthesize them into coherent narratives, with no human queries or supervision per topic? That is precisely the “self‑starting” comprehension capability envisioned in full‑automatic scientific comprehension.</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420"/>
        <w:tblGridChange w:id="0">
          <w:tblGrid>
            <w:gridCol w:w="2625"/>
            <w:gridCol w:w="64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Survey-style formulation of automatic scientific article summarization</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Altmami &amp; Menai’s survey on automatic summarization of scientific articles argued that summarizing scientific papers is structurally different from generic summarization (due to citations, figures, tables, etc.) and highlighted the lack of benchmark corpora and gold summaries as a central obstacle. They framed automatic summarization as a way to help researchers navigate vast </w:t>
            </w:r>
            <w:r w:rsidDel="00000000" w:rsidR="00000000" w:rsidRPr="00000000">
              <w:rPr>
                <w:rFonts w:ascii="Times New Roman" w:cs="Times New Roman" w:eastAsia="Times New Roman" w:hAnsi="Times New Roman"/>
                <w:sz w:val="24"/>
                <w:szCs w:val="24"/>
                <w:rtl w:val="0"/>
              </w:rPr>
              <w:t xml:space="preserve">literatures</w:t>
            </w:r>
            <w:r w:rsidDel="00000000" w:rsidR="00000000" w:rsidRPr="00000000">
              <w:rPr>
                <w:rFonts w:ascii="Times New Roman" w:cs="Times New Roman" w:eastAsia="Times New Roman" w:hAnsi="Times New Roman"/>
                <w:sz w:val="24"/>
                <w:szCs w:val="24"/>
                <w:rtl w:val="0"/>
              </w:rPr>
              <w:t xml:space="preserve"> and identified open problems specific to scientific texts.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survey consolidated disparate work into a coherent problem statement: fully automatic summarization of scientific articles as a necessary building block for machines that can “read the literature for you.” By emphasizing missing datasets, evaluation, and domain-specific challenges, it pushed the community to treat automatic scientific summarization itself as a primary research problem, directly underpinning full‑automatic comprehension.</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50"/>
        <w:tblGridChange w:id="0">
          <w:tblGrid>
            <w:gridCol w:w="2595"/>
            <w:gridCol w:w="6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Knowledge-graph–centric multi-document scientific summarization</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et al. formalized Multi‑Document Scientific Summarization (MDSS) as producing coherent summaries for clusters of topic‑relevant papers and proposed KGSum, a Transformer-based model that builds and fuses knowledge graphs over multiple papers to capture cross‑paper relationships before generating summaries. They showed that modeling entities and relations across papers significantly improves summarization quality on Multi‑XScience.</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treating summarization as automatic construction and compression of a scientific knowledge graph, this work turned full‑automatic comprehension into a concrete problem: can a system autonomously read a set of papers, build a structured internal representation, and then verbalize the key knowledge? That graph‑centric view is a direct precursor to modern visions of fully automatic systems that “ingest papers and output structured understanding.”</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465"/>
        <w:tblGridChange w:id="0">
          <w:tblGrid>
            <w:gridCol w:w="2580"/>
            <w:gridCol w:w="64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Multi-document summarization for literature reviews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MSLR22 shared task at the Scholarly Document Processing workshop introduced multi‑document summarization for generating review summaries of medical literature, using MS² and Cochrane-derived datasets. The task description explicitly framed systematic reviews as the highest-quality clinical evidence and argued that (semi-)automation via NLP could make evidence synthesis faster, evaluating systems with both automatic and human metrics.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elevating “generate the review summary from all available studies” to a community benchmark, MSLR22 crystallized the end‑to‑end automation problem: given a corpus, can a system independently read, compare, and summarize evidence at near-review quality? This collective problem framing pushed the field from piecemeal tools toward full‑automatic scientific comprehension pipelines that target complete literature reviews as outputs.</w:t>
            </w:r>
          </w:p>
        </w:tc>
      </w:tr>
    </w:tbl>
    <w:p w:rsidR="00000000" w:rsidDel="00000000" w:rsidP="00000000" w:rsidRDefault="00000000" w:rsidRPr="00000000" w14:paraId="0000003C">
      <w:pPr>
        <w:spacing w:after="160" w:line="301.09090909090907"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