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510"/>
        <w:tblGridChange w:id="0">
          <w:tblGrid>
            <w:gridCol w:w="2535"/>
            <w:gridCol w:w="65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Multi-level annotated corpus linking related work sections, cited papers, and citation contexts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AbuRa’ed et al. built a multi-level corpus where each scientific paper is annotated with its related work or literature review section, the cited papers, the sentences citing them, and even a layer of papers that cite those references, explicitly motivated by studying automatic related work generation as a multi-document summarization problem.</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corpus turned “related work generation” from a vague idea into a concrete problem: generate an entire section conditioned on a structured graph of cited papers and citation contexts. That explicit linkage between section text and citation structure is exactly what later section-level related work generators build on.</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multi-document summarization with related work paragraphs as targets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et al. introduced Multi-XScience, a large-scale dataset where the task is to write a paper’s related work paragraph given its abstract and the abstracts of the papers it references, framing this as “extreme” multi-document summarization from multiple scientific articles.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defining the target as real related work text rather than generic summaries, Multi-XScience posed a new problem: can a model read several prior papers and directly generate coherent, section-style explanations of how they relate? That is essentially section-level related work generation, just at the paragraph granularity.</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Relation-aware abstractive model and datasets for related work section generation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formalized “abstractive related work generation” as a distinct task from generic multi-document summarization, arguing that related work must both summarize each cited paper and explain relationships (parallel, turning, progressive) in logical order; they proposed a Relation-aware Related work Generator (RRG) and released two large-scale datasets (from S2ORC and Delve) of related work sections paired with their cited papers’ abstracts.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sharpened the problem: related work generation is not just “summarize shared content,” but “compose a logically ordered section that compares and connects many papers.” That explicit separation from vanilla MDS, plus dedicated datasets, directly anticipates later work on section-level related work generation with discourse structure and inter-paper relations.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55"/>
        <w:tblGridChange w:id="0">
          <w:tblGrid>
            <w:gridCol w:w="2490"/>
            <w:gridCol w:w="65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summaries of academic papers with multi-section outputs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et al. introduced BigSurvey, a dataset where hundreds of reference-paper abstracts on a topic are input and the target is a </w:t>
            </w:r>
            <w:r w:rsidDel="00000000" w:rsidR="00000000" w:rsidRPr="00000000">
              <w:rPr>
                <w:rFonts w:ascii="Times New Roman" w:cs="Times New Roman" w:eastAsia="Times New Roman" w:hAnsi="Times New Roman"/>
                <w:i w:val="1"/>
                <w:iCs w:val="1"/>
                <w:sz w:val="24"/>
                <w:szCs w:val="24"/>
                <w:rtl w:val="0"/>
              </w:rPr>
              <w:t xml:space="preserve">structured</w:t>
            </w:r>
            <w:r w:rsidDel="00000000" w:rsidR="00000000" w:rsidRPr="00000000">
              <w:rPr>
                <w:rFonts w:ascii="Times New Roman" w:cs="Times New Roman" w:eastAsia="Times New Roman" w:hAnsi="Times New Roman"/>
                <w:sz w:val="24"/>
                <w:szCs w:val="24"/>
                <w:rtl w:val="0"/>
              </w:rPr>
              <w:t xml:space="preserve"> survey-style summary (background, methods, other) drawn from real survey papers’ introductions, plus a CAST method to handle long inputs and section-level alignment.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BigSurvey posed a new problem: generate multi-section, topic-organized summaries over dozens or hundreds of papers, not just a single flat summary. That directly foreshadows section-level related work generation where models must produce distinct, coherent subsections (e.g., different lines of prior work) rather than one undifferentiated blob of text.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related work generation as topic-biased multi-document summarization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Altmami and Menai’s survey on automatic summarization of scientific articles highlighted that scientific summarization differs from generic summarization due to structure and citations, and explicitly described automatic related work section generation as a challenging multi-document, topic-biased summarization problem with limited corpora and open issues.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naming related work generation as its own summarization problem and tying it to paper structure and topic bias, this survey provided a clear conceptual framing and research agenda. That crystallization helped elevate “generate whole related work sections” into a mainstream target, rather than an incidental byproduct of generic scientific summarization.</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Citation-graph–based scientific paper summarization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et al. constructed the Semantic Scholar Network (SSN), a large summarization dataset where each paper is embedded in a connected citation graph, and proposed CGSUM, a model that summarizes a source paper using both its full text and a subgraph of referenced papers, explicitly arguing that scientific summarization should exploit citation relationships, not just the source document.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Section-Level Related Work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summarization in the scientific domain as </w:t>
            </w:r>
            <w:r w:rsidDel="00000000" w:rsidR="00000000" w:rsidRPr="00000000">
              <w:rPr>
                <w:rFonts w:ascii="Times New Roman" w:cs="Times New Roman" w:eastAsia="Times New Roman" w:hAnsi="Times New Roman"/>
                <w:i w:val="1"/>
                <w:iCs w:val="1"/>
                <w:sz w:val="24"/>
                <w:szCs w:val="24"/>
                <w:rtl w:val="0"/>
              </w:rPr>
              <w:t xml:space="preserve">graph-aware</w:t>
            </w:r>
            <w:r w:rsidDel="00000000" w:rsidR="00000000" w:rsidRPr="00000000">
              <w:rPr>
                <w:rFonts w:ascii="Times New Roman" w:cs="Times New Roman" w:eastAsia="Times New Roman" w:hAnsi="Times New Roman"/>
                <w:sz w:val="24"/>
                <w:szCs w:val="24"/>
                <w:rtl w:val="0"/>
              </w:rPr>
              <w:t xml:space="preserve"> generation over a web of related papers, exactly the structural information related work sections rely on. It seeded the problem of generating sections that depend on how papers cite and relate to each other, not just on the content of a single document—core to section-level related work generation.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