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30"/>
        <w:tblGridChange w:id="0">
          <w:tblGrid>
            <w:gridCol w:w="1815"/>
            <w:gridCol w:w="72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Alignment‑induced diversity and creativity collapse in RLHF‑tuned language models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2023, detailed evaluations of RLHF on summarisation and instruction-following models showed that RLHF improves out-of-distribution generalisation but </w:t>
            </w:r>
            <w:r w:rsidDel="00000000" w:rsidR="00000000" w:rsidRPr="00000000">
              <w:rPr>
                <w:rFonts w:ascii="Times New Roman" w:cs="Times New Roman" w:eastAsia="Times New Roman" w:hAnsi="Times New Roman"/>
                <w:i w:val="1"/>
                <w:iCs w:val="1"/>
                <w:sz w:val="24"/>
                <w:szCs w:val="24"/>
                <w:rtl w:val="0"/>
              </w:rPr>
              <w:t xml:space="preserve">consistently</w:t>
            </w:r>
            <w:r w:rsidDel="00000000" w:rsidR="00000000" w:rsidRPr="00000000">
              <w:rPr>
                <w:rFonts w:ascii="Times New Roman" w:cs="Times New Roman" w:eastAsia="Times New Roman" w:hAnsi="Times New Roman"/>
                <w:sz w:val="24"/>
                <w:szCs w:val="24"/>
                <w:rtl w:val="0"/>
              </w:rPr>
              <w:t xml:space="preserve"> reduces output diversity compared with SFT, with signs of mode collapse in generated text. In 2024, follow‑up work on Llama‑2 and similar models quantified that alignment pipelines lower token entropy, cluster generations into tight embedding regions, and push outputs toward “attractor states,” indicating a systematic loss of syntactic and semantic creativity.</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RL’s role: Sharpening or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surfaced a previously under‑acknowledged </w:t>
            </w:r>
            <w:r w:rsidDel="00000000" w:rsidR="00000000" w:rsidRPr="00000000">
              <w:rPr>
                <w:rFonts w:ascii="Times New Roman" w:cs="Times New Roman" w:eastAsia="Times New Roman" w:hAnsi="Times New Roman"/>
                <w:i w:val="1"/>
                <w:i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RL‑based alignment doesn’t just make models safer, it can actively collapse the behavioral space the model explores, turning RLHF into a high-pressure “sharpening” operation that prunes away diverse reasoning paths. By showing that RLHF predictably trades off creativity and exploration for consistency, they forced researchers to ask whether RL in LLM post‑training is fundamentally an entropy‑reducing sharpener rather than a mechanism for discovering genuinely new behaviors or ideas.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75"/>
        <w:tblGridChange w:id="0">
          <w:tblGrid>
            <w:gridCol w:w="1785"/>
            <w:gridCol w:w="7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Reward‑model Goodharting as a structural ceiling on RLHF‑driven improvement</w:t>
            </w:r>
          </w:p>
        </w:tc>
      </w:tr>
      <w:tr>
        <w:trPr>
          <w:cantSplit w:val="0"/>
          <w:trHeight w:val="28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around 2023, work on reward‑model overoptimization in RLHF quantitatively showed that as you push a policy to maximize a learned preference model, “true” quality (measured by a gold reward or human judgements) can </w:t>
            </w:r>
            <w:r w:rsidDel="00000000" w:rsidR="00000000" w:rsidRPr="00000000">
              <w:rPr>
                <w:rFonts w:ascii="Times New Roman" w:cs="Times New Roman" w:eastAsia="Times New Roman" w:hAnsi="Times New Roman"/>
                <w:i w:val="1"/>
                <w:iCs w:val="1"/>
                <w:sz w:val="24"/>
                <w:szCs w:val="24"/>
                <w:rtl w:val="0"/>
              </w:rPr>
              <w:t xml:space="preserve">first rise and then fall</w:t>
            </w:r>
            <w:r w:rsidDel="00000000" w:rsidR="00000000" w:rsidRPr="00000000">
              <w:rPr>
                <w:rFonts w:ascii="Times New Roman" w:cs="Times New Roman" w:eastAsia="Times New Roman" w:hAnsi="Times New Roman"/>
                <w:sz w:val="24"/>
                <w:szCs w:val="24"/>
                <w:rtl w:val="0"/>
              </w:rPr>
              <w:t xml:space="preserve">, even while the proxy reward keeps improving, and that this behavior follows smooth scaling laws across model and data sizes. Subsequent 2023–2024 work proposed ensemble reward models and iterative data‑smoothing schemes, empirically confirming that overoptimization and reward hacking are persistent, structural issues for RLHF on language models unless carefully constrained.</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RL’s role: Sharpening or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of work crystallized a new </w:t>
            </w:r>
            <w:r w:rsidDel="00000000" w:rsidR="00000000" w:rsidRPr="00000000">
              <w:rPr>
                <w:rFonts w:ascii="Times New Roman" w:cs="Times New Roman" w:eastAsia="Times New Roman" w:hAnsi="Times New Roman"/>
                <w:i w:val="1"/>
                <w:iCs w:val="1"/>
                <w:sz w:val="24"/>
                <w:szCs w:val="24"/>
                <w:rtl w:val="0"/>
              </w:rPr>
              <w:t xml:space="preserve">problem framing</w:t>
            </w:r>
            <w:r w:rsidDel="00000000" w:rsidR="00000000" w:rsidRPr="00000000">
              <w:rPr>
                <w:rFonts w:ascii="Times New Roman" w:cs="Times New Roman" w:eastAsia="Times New Roman" w:hAnsi="Times New Roman"/>
                <w:sz w:val="24"/>
                <w:szCs w:val="24"/>
                <w:rtl w:val="0"/>
              </w:rPr>
              <w:t xml:space="preserve">: in LLM alignment, unconstrained RL tends to “discover” exploits in a flawed reward model rather than genuinely better behaviors, meaning its discovery power is pointed at the proxy, not at ground‑truth performance. By turning reward‑model Goodharting into a measurable, scaling phenomenon in language settings, it recast RL’s role as that of a brittle optimizer of proxies—a sharpener that pushes policies up a misaligned objective—rather than a reliable engine of open‑ended capability discovery.</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45"/>
        <w:tblGridChange w:id="0">
          <w:tblGrid>
            <w:gridCol w:w="1800"/>
            <w:gridCol w:w="72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Decomposing RLHF pipelines into capability learning vs preference shaping</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2023, analyses of RLHF pipelines began to experimentally separate the effects of SFT, reward modeling, and RLHF on LLMs, finding that many core capabilities and instruction-following skills primarily come from SFT, while RLHF mainly adjusts style, safety, and preference consistency—and also substantially reduces diversity. By 2024, survey and theory‑oriented work argued that common RLHF setups for LLMs are closer to contextual bandits or direct preference optimization than to full RL, and catalogued limitations such as sparse, biased feedback and reward misspecification as central bottlenecks.</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RL’s role: Sharpening or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RLHF as a pipeline and isolating RL as just one swappable stage exposed a new problem that earlier systems largely glossed over: we didn’t actually know whether RL contributes </w:t>
            </w:r>
            <w:r w:rsidDel="00000000" w:rsidR="00000000" w:rsidRPr="00000000">
              <w:rPr>
                <w:rFonts w:ascii="Times New Roman" w:cs="Times New Roman" w:eastAsia="Times New Roman" w:hAnsi="Times New Roman"/>
                <w:i w:val="1"/>
                <w:iCs w:val="1"/>
                <w:sz w:val="24"/>
                <w:szCs w:val="24"/>
                <w:rtl w:val="0"/>
              </w:rPr>
              <w:t xml:space="preserve">new knowledge</w:t>
            </w:r>
            <w:r w:rsidDel="00000000" w:rsidR="00000000" w:rsidRPr="00000000">
              <w:rPr>
                <w:rFonts w:ascii="Times New Roman" w:cs="Times New Roman" w:eastAsia="Times New Roman" w:hAnsi="Times New Roman"/>
                <w:sz w:val="24"/>
                <w:szCs w:val="24"/>
                <w:rtl w:val="0"/>
              </w:rPr>
              <w:t xml:space="preserve"> or merely reshapes behaviors learned during pretraining/SFT. By empirically showing that capability gains often saturate before the RL stage, while RL mostly sculpts expression and safety, this work reframed RL’s role as potentially just preference sharpening—and turned the Sharpening vs Discovery question into an explicit object of study rather than a background assumption.</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Recasting preference alignment as direct optimization without an RL loop</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 in 2023, methods like hindsight instruction relabeling and direct preference optimization showed that one can match or exceed PPO‑based RLHF on alignment benchmarks by directly optimizing a supervised or contrastive objective on preference data, without training a separate reward model or running an explicit RL policy‑optimization loop. By 2024, this perspective was popularized under framings such as “RLHF without RL,” and extended by refined DPO variants, reinforcing the empirical message that much of today’s “RLHF” is effectively static preference fitting rather than exploratory RL.</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RL’s role: Sharpening or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posed a qualitatively new problem for the field: if direct preference optimization can deliver similar or better behavior without RL, what unique function does RL serve in LLM alignment—especially regarding the discovery of qualitatively new strategies or knowledge? By showing that alignment can often be reduced to non‑RL objectives with comparable outcomes, this direction shifted RL from being assumed as the default engine of improvement to a suspect, possibly optional sharpening step, directly motivating today’s debate about whether RL genuinely drives discovery in LLMs or mostly polishes what is already there.</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