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95"/>
        <w:tblGridChange w:id="0">
          <w:tblGrid>
            <w:gridCol w:w="1950"/>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Zero‑shot hypothesis generation as a probe of hidden parametric idea space</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line of biomedical work constructed time‑split datasets of background‑knowledge / hypothesis pairs and asked instructed LLMs to propose hypotheses in zero‑shot and few‑shot settings, then checked whether those hypotheses later appeared in unseen literature. The study found that LLMs could sometimes generate untrained yet validated hypotheses and introduced multi‑agent setups and metrics (novelty, relevance, significance, verifiability) tailored to scientific hypothesis quality rather than generic text similarity.</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Internal Knowledge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direction reframed models as holding a latent “idea space” in their parametric knowledge and surfaced a new problem: how to rigorously tell when a model‑proposed hypothesis is genuinely novel rather than memorized or spurious. By formalizing zero‑shot hypothesis generation and evaluation, it turned “idea mining from internal knowledge” into a concrete problem of discovering and validating implicit hypotheses stored in the weights, rather than just prompting for clever-sounding suggestions.</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foundation-model parametric knowledge as an explicit hypothesis‑mining substrate</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foundation models for scientific discovery explicitly posed two core challenges: how to harness the parametric knowledge embedded in LLMs for hypothesis generation, and how to evaluate such systems at scale. It proposed a knowledge‑grounded “chain‑of‑idea” pipeline that combines LLM internal knowledge with knowledge graphs and literature retrieval, plus a customizable benchmarking framework (IdeaBench) for rating hypotheses using domain rules and LLM‑assisted evaluation.</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Internal Knowledge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elevating “how to use parametric knowledge for discovery” to a first‑class research question, this work exposed a new problem: internal model knowledge is powerful but opaque, so idea mining requires mechanisms to elicit, ground, and score that knowledge rather than just relying on raw generations. It directly anticipated the mainframe topic by framing hypothesis generation as systematic extraction of ideas from internal knowledge, constrained and audited by external structure and evaluation.</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960"/>
        <w:tblGridChange w:id="0">
          <w:tblGrid>
            <w:gridCol w:w="2085"/>
            <w:gridCol w:w="69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Agentic, iterative research‑idea pipelines over literature and internal knowledge</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Research‑agent systems modeled ideation as an iterative LLM pipeline: starting from a core paper, they traverse an academic graph, retrieve related work and entity‑centric knowledge, then have an LLM agent propose problems, methods, and experiments that are repeatedly reviewed and revised by LLM‑based “reviewer” agents instantiated with human‑aligned criteria. Evaluations showed these systems could generate ideas judged novel, clear, and valid across several disciplines.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Internal Knowledge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systems revealed that idea generation is not a one‑shot prompt, but a process of mining, recombining, and refining internal knowledge under feedback. That surfaced a new problem for the field: how to structure multi‑step LLM workflows so that internal knowledge is progressively distilled into research ideas, rather than merely regurgitating local context or superficial patterns—exactly the design question at the heart of Idea Mining from Internal Knowledge.</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Head‑to‑head human–LLM evaluations of research ideation quality and diversity</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large‑scale human study compared an LLM‑based ideation agent (with retrieval, idea generation, and ranking) against over 100 expert NLP researchers, finding that model‑generated ideas were rated more novel but slightly weaker on feasibility, and identifying open problems such as poor self‑evaluation and limited diversity of ideas. Complementary work in innovation management showed that LLMs can generate product ideas faster, cheaper, and on average higher‑quality than human participants, with many of the very best ideas coming from the model.</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Internal Knowledge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results exposed a new problem: once internal model knowledge can flood us with abundant, high‑novelty ideas, the bottleneck shifts to mining, filtering, and judging those ideas rather than generating them. By showing that LLMs overperform humans on novelty yet struggle with feasibility, diversity, and self‑assessment, this work reframed “idea mining from internal knowledge” as a challenge of selective extraction and evaluation of ideas from the model’s internal store, not just turning on the creativity tap.</w:t>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