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Time‑split, literature‑grounded hypothesis benchmarks for LLMs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built datasets pairing background biomedical passages with explicit hypotheses extracted from later papers, partitioned by publication date so that test hypotheses post‑date the input literature. These studies evaluated LLMs—often in zero‑shot, few‑shot, and multi‑agent tool‑augmented modes—on generating hypotheses that match or anticipate those later discoveries, with new metrics for novelty, feasibility, and validation.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enforcing temporal splits and explicit background–hypothesis pairs, this direction surfaced a new problem: how to mine genuinely new ideas from evolving external corpora rather than merely restating knowledge already present in the model. It reframed hypothesis generation as extrapolation over time‑stamped external signals (literature snapshots) and highlighted leakage, novelty, and evaluation as central issues—core concerns of the later “idea mining from external knowledge” mainframe.</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00"/>
        <w:tblGridChange w:id="0">
          <w:tblGrid>
            <w:gridCol w:w="1545"/>
            <w:gridCol w:w="75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Knowledge‑graph‑grounded chain‑of‑ideas reasoning for hypothesis generation</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Researchers introduced knowledge‑grounded chain‑of‑ideas frameworks that couple LLMs with domain knowledge graphs and literature retrieval so that each hypothesis is generated as a stepwise reasoning trace tied to explicit entities, relations, and documents. The KG‑CoI system, for example, retrieves multi‑hop relation chains from a biomedical knowledge graph, enriches queries, pulls supporting PubMed abstracts, then uses specialized LLM agents to generate, rank, and verify chains of ideas, with hallucination detection driven by graph structure.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exposed a previously under‑articulated problem: naive retrieval or prompt stuffing with external knowledge can actually increase confident hallucinations unless external signals are structurally integrated and audited. By treating knowledge graphs and retrieved literature as active scaffolds that both guide and verify idea generation, it defined the mainframe challenge of </w:t>
            </w:r>
            <w:r w:rsidDel="00000000" w:rsidR="00000000" w:rsidRPr="00000000">
              <w:rPr>
                <w:rFonts w:ascii="Times New Roman" w:cs="Times New Roman" w:eastAsia="Times New Roman" w:hAnsi="Times New Roman"/>
                <w:i w:val="1"/>
                <w:iCs w:val="1"/>
                <w:sz w:val="24"/>
                <w:szCs w:val="24"/>
                <w:rtl w:val="0"/>
              </w:rPr>
              <w:t xml:space="preserve">structuring</w:t>
            </w:r>
            <w:r w:rsidDel="00000000" w:rsidR="00000000" w:rsidRPr="00000000">
              <w:rPr>
                <w:rFonts w:ascii="Times New Roman" w:cs="Times New Roman" w:eastAsia="Times New Roman" w:hAnsi="Times New Roman"/>
                <w:sz w:val="24"/>
                <w:szCs w:val="24"/>
                <w:rtl w:val="0"/>
              </w:rPr>
              <w:t xml:space="preserve"> external signals for idea mining, not just appending more text to prompts.</w:t>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395"/>
        <w:tblGridChange w:id="0">
          <w:tblGrid>
            <w:gridCol w:w="1650"/>
            <w:gridCol w:w="73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Closed‑loop LLM–robotic lab systems for experiment‑driven ideation</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LLM‑driven autonomous lab systems such as Coscientist integrated tool‑using language agents with robotic experimentation, allowing the system to design, plan, and execute chemical experiments and adjust subsequent actions based on measured outcomes. The architecture orchestrates multiple LLM modules—planners, code generators, documentation navigators, and analysis agents—connected to a cloud lab API so that synthesis planning and reaction optimization become closed‑loop procedures steered by experimental feedback.</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wet‑lab readouts as signals that shape further hypotheses and experiment choices, this direction revealed a new problem: how to mine and refine ideas when the key external signal is high‑cost, noisy experimental data rather than static text. It reframed scientific ideation as an interactive control process over external environments, foreshadowing the “external environment feedback” branch of the idea‑mining mainframe.</w:t>
            </w: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55"/>
        <w:tblGridChange w:id="0">
          <w:tblGrid>
            <w:gridCol w:w="159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AI research agents that use experiments and peer review as external selection signals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End‑to‑end AI research agents automated an entire research loop—brainstorming candidate projects, editing code, running experiments, conducting literature search, writing manuscripts, and producing peer‑review‑style critiques—while drawing on external services like Semantic Scholar and training runs as signals for idea selection. The system repeatedly generates and implements ideas, evaluates them through experimental metrics and automated reviews, and archives promising directions, effectively turning external performance data and review feedback into drivers of open‑ended ideation.</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line of work highlighted a broader problem: when idea quality is revealed only through downstream signals such as experiment results, novelty checks, and review judgments, how should an AI system mine, select, and evolve research programs over many iterations? By explicitly closing the loop between generated ideas and these heterogeneous external signals, it anticipated the mainframe focus on idea mining that is conditioned not just on internal knowledge or static corpora, but on long‑horizon environment and community feedback.</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