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25"/>
        <w:tblGridChange w:id="0">
          <w:tblGrid>
            <w:gridCol w:w="2220"/>
            <w:gridCol w:w="68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Context‑anchored, pairwise novelty benchmarks for LLMs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SchNovel framed LLM novelty assessment as choosing the more novel paper in a pair, with each pair drawn from arXiv across multi‑year gaps and multiple fields, and showed that providing retrieved similar papers (RAG‑Novelty) dramatically changes LLM accuracy compared with title/abstract‑only prompts.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Novelty &amp; Significance Assessment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line of work surfaced a new problem: novelty is inherently contextual and relational, so treating it as a static scalar on a single paper (or as a pure semantic score) is structurally wrong for LLMs. It directly pushed the field toward the mainframe topic by making “Novelty &amp; Significance Assessment” an explicit task of </w:t>
            </w:r>
            <w:r w:rsidDel="00000000" w:rsidR="00000000" w:rsidRPr="00000000">
              <w:rPr>
                <w:rFonts w:ascii="Times New Roman" w:cs="Times New Roman" w:eastAsia="Times New Roman" w:hAnsi="Times New Roman"/>
                <w:i w:val="1"/>
                <w:iCs w:val="1"/>
                <w:sz w:val="24"/>
                <w:szCs w:val="24"/>
                <w:rtl w:val="0"/>
              </w:rPr>
              <w:t xml:space="preserve">relative, corpus‑aware comparison</w:t>
            </w:r>
            <w:r w:rsidDel="00000000" w:rsidR="00000000" w:rsidRPr="00000000">
              <w:rPr>
                <w:rFonts w:ascii="Times New Roman" w:cs="Times New Roman" w:eastAsia="Times New Roman" w:hAnsi="Times New Roman"/>
                <w:sz w:val="24"/>
                <w:szCs w:val="24"/>
                <w:rtl w:val="0"/>
              </w:rPr>
              <w:t xml:space="preserve"> rather than one‑shot text scoring.</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Measuring novelty as multi‑dimensional knowledge recombination rather than a single citation distance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Bibliometric–NLP work on measuring novelty combined topic models (e.g., BERTopic) with a “cloud model” representation of articles to treat each paper as a mixture of knowledge elements, criticizing both ex‑post citation‑impact proxies and narrow metadata‑based indicators (e.g., unusual reference combinations) as biased and incomplete.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Novelty &amp; Significance Assessment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arguing that existing novelty measures miss content‑level structure and are distorted by citation behavior and reviewer subjectivity, this work crystallized a new problem: how to define novelty in a way that reflects genuine knowledge recombination rather than artifacts of metadata or impact. That re‑opened the question of what we are even trying to assess when we talk about “novelty &amp; significance,” and set the stage for richer, model‑aware assessment schemes.</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Large‑scale human–LLM ideation studies that decouple novelty from feasibility and impact</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large human study on LLM research ideation recruited over 100 expert NLP researchers to both propose ideas and blind‑review human vs. LLM ideas along axes like novelty, excitement, feasibility, and overall quality, finding that LLM‑generated ideas were consistently rated </w:t>
            </w:r>
            <w:r w:rsidDel="00000000" w:rsidR="00000000" w:rsidRPr="00000000">
              <w:rPr>
                <w:rFonts w:ascii="Times New Roman" w:cs="Times New Roman" w:eastAsia="Times New Roman" w:hAnsi="Times New Roman"/>
                <w:i w:val="1"/>
                <w:iCs w:val="1"/>
                <w:sz w:val="24"/>
                <w:szCs w:val="24"/>
                <w:rtl w:val="0"/>
              </w:rPr>
              <w:t xml:space="preserve">more novel</w:t>
            </w:r>
            <w:r w:rsidDel="00000000" w:rsidR="00000000" w:rsidRPr="00000000">
              <w:rPr>
                <w:rFonts w:ascii="Times New Roman" w:cs="Times New Roman" w:eastAsia="Times New Roman" w:hAnsi="Times New Roman"/>
                <w:sz w:val="24"/>
                <w:szCs w:val="24"/>
                <w:rtl w:val="0"/>
              </w:rPr>
              <w:t xml:space="preserve"> but slightly </w:t>
            </w:r>
            <w:r w:rsidDel="00000000" w:rsidR="00000000" w:rsidRPr="00000000">
              <w:rPr>
                <w:rFonts w:ascii="Times New Roman" w:cs="Times New Roman" w:eastAsia="Times New Roman" w:hAnsi="Times New Roman"/>
                <w:i w:val="1"/>
                <w:iCs w:val="1"/>
                <w:sz w:val="24"/>
                <w:szCs w:val="24"/>
                <w:rtl w:val="0"/>
              </w:rPr>
              <w:t xml:space="preserve">weaker on feasibility and overall assessment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Novelty &amp; Significance Assessment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exposed a new problem: novelty alone is not a reliable proxy for significance, and naïve evaluations can over‑reward flashy but low‑feasibility ideas, especially when LLMs are involved. It pushed the community toward treating “Novelty &amp; Significance Assessment” as a </w:t>
            </w:r>
            <w:r w:rsidDel="00000000" w:rsidR="00000000" w:rsidRPr="00000000">
              <w:rPr>
                <w:rFonts w:ascii="Times New Roman" w:cs="Times New Roman" w:eastAsia="Times New Roman" w:hAnsi="Times New Roman"/>
                <w:i w:val="1"/>
                <w:iCs w:val="1"/>
                <w:sz w:val="24"/>
                <w:szCs w:val="24"/>
                <w:rtl w:val="0"/>
              </w:rPr>
              <w:t xml:space="preserve">joint, multi‑criteria evaluation problem</w:t>
            </w:r>
            <w:r w:rsidDel="00000000" w:rsidR="00000000" w:rsidRPr="00000000">
              <w:rPr>
                <w:rFonts w:ascii="Times New Roman" w:cs="Times New Roman" w:eastAsia="Times New Roman" w:hAnsi="Times New Roman"/>
                <w:sz w:val="24"/>
                <w:szCs w:val="24"/>
                <w:rtl w:val="0"/>
              </w:rPr>
              <w:t xml:space="preserve">—with explicit trade‑offs and failure modes—rather than a single “how novel is this?” score.</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90"/>
        <w:tblGridChange w:id="0">
          <w:tblGrid>
            <w:gridCol w:w="1755"/>
            <w:gridCol w:w="72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Agent-based peer‑review simulations and critique of “empty” novelty/significance sections</w:t>
            </w:r>
          </w:p>
        </w:tc>
      </w:tr>
      <w:tr>
        <w:trPr>
          <w:cantSplit w:val="0"/>
          <w:trHeight w:val="339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Conceptual and empirical work on automated scholarly paper review highlighted that human peer review is subjective and poorly reproducible, especially for ex‑ante novelty, and that growing submission volumes make consistent novelty/significance judgments increasingly fragile. Parallel commentary from journal editors documented how many reviews contain vague or boilerplate statements about novelty and significance, with little concrete justification. Agent‑based simulations like AGENTREVIEW then instantiated LLM reviewer/area‑chair pipelines where each review includes explicit “novelty” and “significance” sections, revealing how reviewer style, knowledgeability and commitment change these scores even when the manuscript is fixed.</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Novelty &amp; Significance Assessment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threads surfaced a deeper problem: neither human nor LLM reviews have a stable, operational notion of novelty and significance, and scores are heavily shaped by process variables (reviewer role, effort, prompts) rather than just paper content. That reframed Novelty &amp; Significance Assessment as its own mainframe topic—designing structured, context‑aware, and reproducible ways to elicit and aggregate these judgments—rather than a minor checkbox in generic peer‑review automation.</w:t>
            </w:r>
          </w:p>
        </w:tc>
      </w:tr>
    </w:tbl>
    <w:p w:rsidR="00000000" w:rsidDel="00000000" w:rsidP="00000000" w:rsidRDefault="00000000" w:rsidRPr="00000000" w14:paraId="00000028">
      <w:pPr>
        <w:spacing w:after="160" w:line="301.09090909090907"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