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Nanopublication-style packaging of individual formalized claims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nanopublication-based semantic publishing proposed that “formalization papers” should consist of nanopublications whose assertion field contains a fully formalized version of a single scientific claim, expressed with the super-pattern semantic template and linked to provenance and publication metadata.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made visible a new problem: PDFs and narrative articles do not expose claims as machine-actionable units, so downstream reasoning and review can’t directly operate on them. By insisting that each main finding be published as its own formalized nanopublication, this line of work reframed scientific claim formalization as a </w:t>
            </w:r>
            <w:r w:rsidDel="00000000" w:rsidR="00000000" w:rsidRPr="00000000">
              <w:rPr>
                <w:rFonts w:ascii="Times New Roman" w:cs="Times New Roman" w:eastAsia="Times New Roman" w:hAnsi="Times New Roman"/>
                <w:i w:val="1"/>
                <w:iCs w:val="1"/>
                <w:sz w:val="24"/>
                <w:szCs w:val="24"/>
                <w:rtl w:val="0"/>
              </w:rPr>
              <w:t xml:space="preserve">publishing primitive</w:t>
            </w:r>
            <w:r w:rsidDel="00000000" w:rsidR="00000000" w:rsidRPr="00000000">
              <w:rPr>
                <w:rFonts w:ascii="Times New Roman" w:cs="Times New Roman" w:eastAsia="Times New Roman" w:hAnsi="Times New Roman"/>
                <w:sz w:val="24"/>
                <w:szCs w:val="24"/>
                <w:rtl w:val="0"/>
              </w:rPr>
              <w:t xml:space="preserve"> rather than an optional annotation layer.</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Stepwise frameworks from natural-language hypotheses to ontology-linked claim graphs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framework for “taming” natural-language hypotheses in scientific papers outlined a stepwise pipeline: rewrite textual hypotheses as AIDA-style atomic statements, transform them into subject–relationship–object structures with qualifiers, organize them in hierarchies of general vs specific hypotheses, and map all components into a dedicated Hypothesis Ontology built on top of super-pattern and domain ontologies.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exposed that even experts struggle to relate messy, context-heavy hypothesis statements in papers to their underlying general claims, and that standard NLP cannot reliably detect these links. By turning this into a concrete workflow with explicit intermediate representations and ontological hooks, it framed scientific claim formalization itself as the missing bridge between what papers say and any automated linking of evidence, arguments, and hypotheses.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scientific claim recognition as its own hard classification task</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 on ClaimDistiller cast scientific claim extraction as a supervised contrastive learning problem, systematically comparing text-augmentation strategies for distinguishing claim-bearing sentences from background and finding that even sophisticated training tricks offer only marginal gains, underscoring how subtle the linguistic signal is.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surfaced a pre-formalization problem: before claims can be formalized, systems must reliably locate them amid methods, background, and discussion, and that turns out to be much harder than generic key-sentence extraction. It repositioned scientific claim formalization as a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starting with robust claim recognition, not just a symbolic layer you can bolt onto arbitrary sentences.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NLI-based scientific claim verification exposing semantics-losing representations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Scientific claim verification work framed the task as natural language inference over claim–abstract pairs and showed that fine-tuned NLI models can outperform GPT-4 variants on SciFact-style data, but detailed error analysis revealed systematic failures on contradictions involving numerical data, temporal qualifiers, domain terminology, and subtle mechanistic differences.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highlighted that representing a claim as a flat sentence concatenated with an abstract discards many of the semantic distinctions that matter for support vs contradiction. By showing that even strong models mis-handle claims when key structure (variables, time frames, causal mechanisms) is implicit rather than formalized, they pointed directly to the need for richer formal representations of scientific claims as a prerequisite for reliable automated verification.</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