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LLM‑simulated subject pools for classic lab experiments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that set up “Turing experiments,” using large language models to simulate many distinct participants in canonical human-subject studies (e.g., obedience, cooperation), and then comparing the synthetic outcomes to historical human data to see where the match holds and where it breaks.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surfaced a new problem: if we can cheaply re-run classic experiments entirely in silico, under what conditions can these simulations stand in as </w:t>
            </w:r>
            <w:r w:rsidDel="00000000" w:rsidR="00000000" w:rsidRPr="00000000">
              <w:rPr>
                <w:rFonts w:ascii="Times New Roman" w:cs="Times New Roman" w:eastAsia="Times New Roman" w:hAnsi="Times New Roman"/>
                <w:i w:val="1"/>
                <w:iCs w:val="1"/>
                <w:sz w:val="24"/>
                <w:szCs w:val="24"/>
                <w:rtl w:val="0"/>
              </w:rPr>
              <w:t xml:space="preserve">pre-experiment estimates</w:t>
            </w:r>
            <w:r w:rsidDel="00000000" w:rsidR="00000000" w:rsidRPr="00000000">
              <w:rPr>
                <w:rFonts w:ascii="Times New Roman" w:cs="Times New Roman" w:eastAsia="Times New Roman" w:hAnsi="Times New Roman"/>
                <w:sz w:val="24"/>
                <w:szCs w:val="24"/>
                <w:rtl w:val="0"/>
              </w:rPr>
              <w:t xml:space="preserve"> for new lab studies rather than just curiosities? That reliability/calibration question—how far we can push LLM subject-pools before they mislead us—is exactly the problem-space that later “Pre-Experiment Estimation” work is now formalizing.</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forecasters for pre-registered behavioural experiments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 that takes pre-registered behavioural or social-science experiments (design text, vignettes, treatments) and asks GPT‑family models to forecast the experimental effects—either by simulating participant responses or by directly predicting the direction and magnitude of treatment effects—finding decent accuracy on some setups but systematic errors on others.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LLMs as </w:t>
            </w:r>
            <w:r w:rsidDel="00000000" w:rsidR="00000000" w:rsidRPr="00000000">
              <w:rPr>
                <w:rFonts w:ascii="Times New Roman" w:cs="Times New Roman" w:eastAsia="Times New Roman" w:hAnsi="Times New Roman"/>
                <w:i w:val="1"/>
                <w:iCs w:val="1"/>
                <w:sz w:val="24"/>
                <w:szCs w:val="24"/>
                <w:rtl w:val="0"/>
              </w:rPr>
              <w:t xml:space="preserve">ex ante</w:t>
            </w:r>
            <w:r w:rsidDel="00000000" w:rsidR="00000000" w:rsidRPr="00000000">
              <w:rPr>
                <w:rFonts w:ascii="Times New Roman" w:cs="Times New Roman" w:eastAsia="Times New Roman" w:hAnsi="Times New Roman"/>
                <w:sz w:val="24"/>
                <w:szCs w:val="24"/>
                <w:rtl w:val="0"/>
              </w:rPr>
              <w:t xml:space="preserve"> effect-size forecasters from design text alone, this work reframed a previously vague intuition (“maybe the model can tell us which studies will work”) into a concrete problem: given only an experimental write-up, how well can we estimate which studies will succeed, fail, or be trivial? That is essentially the core pre-experiment estimation question that later becomes a mainframe topic.</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In-silico screening of field and structural experiments with LLM agents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that extended LLM-based prediction from simple surveys to richer, structured settings: one strand used “observer” and “participant” prompting modes so LLMs could predict outcomes of published field experiments and approximate full response distributions; another built structural causal models over LLM-agent interactions in scenarios like negotiations, bail hearings, job interviews, and auctions, then used those fitted models to predict experimental outcomes.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showed that LLM-based pre-experiment estimates can match real-world results in some complex environments while failing badly on others (e.g., gender differences, social norms, price levels), revealing a new problem: pre-experiment estimators themselves can be systematically biased along exactly the dimensions we care about. Mapping and correcting those biases is now central to the emerging “Pre-Experiment Estimation” mainframe.</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LLM-aware power and annotation planning for downstream analyses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Methodological work on design-based supervised learning that treats LLM or ML classifiers as imperfect surrogates, combining a small expert-labeled subset with large-scale automated labels and introducing a data-driven power-analysis procedure to decide how many expert annotations are required for valid downstream inference when using LLM-generated measurements.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measurement not as a fixed preprocessing step but as a </w:t>
            </w:r>
            <w:r w:rsidDel="00000000" w:rsidR="00000000" w:rsidRPr="00000000">
              <w:rPr>
                <w:rFonts w:ascii="Times New Roman" w:cs="Times New Roman" w:eastAsia="Times New Roman" w:hAnsi="Times New Roman"/>
                <w:i w:val="1"/>
                <w:iCs w:val="1"/>
                <w:sz w:val="24"/>
                <w:szCs w:val="24"/>
                <w:rtl w:val="0"/>
              </w:rPr>
              <w:t xml:space="preserve">planning</w:t>
            </w:r>
            <w:r w:rsidDel="00000000" w:rsidR="00000000" w:rsidRPr="00000000">
              <w:rPr>
                <w:rFonts w:ascii="Times New Roman" w:cs="Times New Roman" w:eastAsia="Times New Roman" w:hAnsi="Times New Roman"/>
                <w:sz w:val="24"/>
                <w:szCs w:val="24"/>
                <w:rtl w:val="0"/>
              </w:rPr>
              <w:t xml:space="preserve"> problem: before running the main study, we must estimate how much human vs LLM input is needed to reach desired precision and avoid biased conclusions. That notion of up-front, model-aware planning over sample size, label quality, and estimator variance is a direct precursor to treating “Pre-Experiment Estimation” as its own cross-cutting research problem.</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