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OOD generalisation studies of RLHF vs SFT in LLM post‑training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analysing RLHF pipelines explicitly compared out‑of‑distribution (OOD) performance of SFT, best‑of‑N sampling, and RLHF across summarisation and instruction‑following tasks, showing that RLHF often generalises better than SFT when the distribution shift is large, while also quantifying its diversity costs.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Instead of asking only “does alignment help?”, this line of work surfaced a new problem: the different post‑training stages have distinct generalisation behaviours, with RLHF sometimes rescuing OOD performance that SFT fails to provide. That reframed RL vs SFT as a question about which stage learns </w:t>
            </w:r>
            <w:r w:rsidDel="00000000" w:rsidR="00000000" w:rsidRPr="00000000">
              <w:rPr>
                <w:rFonts w:ascii="Times New Roman" w:cs="Times New Roman" w:eastAsia="Times New Roman" w:hAnsi="Times New Roman"/>
                <w:i w:val="1"/>
                <w:iCs w:val="1"/>
                <w:sz w:val="24"/>
                <w:szCs w:val="24"/>
                <w:rtl w:val="0"/>
              </w:rPr>
              <w:t xml:space="preserve">transferable</w:t>
            </w:r>
            <w:r w:rsidDel="00000000" w:rsidR="00000000" w:rsidRPr="00000000">
              <w:rPr>
                <w:rFonts w:ascii="Times New Roman" w:cs="Times New Roman" w:eastAsia="Times New Roman" w:hAnsi="Times New Roman"/>
                <w:sz w:val="24"/>
                <w:szCs w:val="24"/>
                <w:rtl w:val="0"/>
              </w:rPr>
              <w:t xml:space="preserve"> structure versus </w:t>
            </w:r>
            <w:r w:rsidDel="00000000" w:rsidR="00000000" w:rsidRPr="00000000">
              <w:rPr>
                <w:rFonts w:ascii="Times New Roman" w:cs="Times New Roman" w:eastAsia="Times New Roman" w:hAnsi="Times New Roman"/>
                <w:i w:val="1"/>
                <w:iCs w:val="1"/>
                <w:sz w:val="24"/>
                <w:szCs w:val="24"/>
                <w:rtl w:val="0"/>
              </w:rPr>
              <w:t xml:space="preserve">memorised</w:t>
            </w:r>
            <w:r w:rsidDel="00000000" w:rsidR="00000000" w:rsidRPr="00000000">
              <w:rPr>
                <w:rFonts w:ascii="Times New Roman" w:cs="Times New Roman" w:eastAsia="Times New Roman" w:hAnsi="Times New Roman"/>
                <w:sz w:val="24"/>
                <w:szCs w:val="24"/>
                <w:rtl w:val="0"/>
              </w:rPr>
              <w:t xml:space="preserve"> patterns, laying conceptual groundwork for the later “SFT memorizes, RL generalizes” narrative.</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supervised fine‑tuning on human demonstrations through explicit memorization dynamics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studied supervised fine‑tuning on human demonstration data by directly measuring how quickly and how completely SFT memorizes its training records, and showed that models rapidly lock in training examples even as validation perplexity </w:t>
            </w:r>
            <w:r w:rsidDel="00000000" w:rsidR="00000000" w:rsidRPr="00000000">
              <w:rPr>
                <w:rFonts w:ascii="Times New Roman" w:cs="Times New Roman" w:eastAsia="Times New Roman" w:hAnsi="Times New Roman"/>
                <w:i w:val="1"/>
                <w:iCs w:val="1"/>
                <w:sz w:val="24"/>
                <w:szCs w:val="24"/>
                <w:rtl w:val="0"/>
              </w:rPr>
              <w:t xml:space="preserve">increases</w:t>
            </w:r>
            <w:r w:rsidDel="00000000" w:rsidR="00000000" w:rsidRPr="00000000">
              <w:rPr>
                <w:rFonts w:ascii="Times New Roman" w:cs="Times New Roman" w:eastAsia="Times New Roman" w:hAnsi="Times New Roman"/>
                <w:sz w:val="24"/>
                <w:szCs w:val="24"/>
                <w:rtl w:val="0"/>
              </w:rPr>
              <w:t xml:space="preserve"> while human‑judged generation quality remains stable or improves.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exposed a previously under‑articulated problem: SFT can look worse by classical overfitting metrics while still “feeling” good to humans, because it is simultaneously memorizing demonstrations and getting more confident. That decoupling between perplexity and behaviour forced the field to ask whether SFT is primarily a memorization mechanism—and if so, whether RL‑style post‑training is needed to drive genuine generalisation beyond those memorized demonstrations.</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Task‑specific memorization profiles of fine‑tuned language models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Systematic studies of fine‑tuned LMs measured verbatim, paraphrastic, and “idea” memorization across multiple downstream tasks, finding that generative objectives like summarisation and dialogue produce &gt;10–20% memorization of fine‑tuning data, while classification/QA tasks show almost no memorization, and that memorization increases with model size and training epochs for these “high‑memorization” tasks.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revealing that fine‑tuning is not a uniform process—some SFT regimes intrinsically push models toward copying training data—this direction introduced a new problem: when we observe strong performance after SFT, is it because the model generalized, or because it memorized a task‑specific corpus? That tension set the stage for asking whether RL‑based post‑training is better suited than SFT to escape these high‑memorization regimes and produce more robust generalisation.</w:t>
            </w: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Stage‑wise memorization and privacy risk analysis across RLHF and direct preference learning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memorization in RLHF for code completion decomposed the RLHF pipeline into SFT, reward‑model training, RL fine‑tuning, and direct preference learning, showing that SFT memorization tends to persist through RL, reward‑model training data is rarely memorized by the RL‑fine‑tuned policy, and direct preference learning (e.g. IPO) can memorize preference data more strongly than RLHF despite targeting similar objectives.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RL vs. SFT: Generalize or Memorize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stage‑wise view uncovered a new problem: different post‑training paradigms expose different memorization and privacy profiles, even when they aim at the same aligned behaviour. It sharpened the question from “do LLMs memorize?” to “</w:t>
            </w:r>
            <w:r w:rsidDel="00000000" w:rsidR="00000000" w:rsidRPr="00000000">
              <w:rPr>
                <w:rFonts w:ascii="Times New Roman" w:cs="Times New Roman" w:eastAsia="Times New Roman" w:hAnsi="Times New Roman"/>
                <w:i w:val="1"/>
                <w:iCs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parts of the pipeline memorize, and does RL actually act as a regularizer compared to SFT‑style objectives?”, directly anticipating today’s framing of RL as potentially more generalising and SFT as more memorization‑prone.</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