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LLM‑assisted author checklist verification for venue submissions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Conference experiments such as the NeurIPS Author Checklist Assistant used GPT‑4 to read a full paper plus the author‑completed checklist and then critique each answer, scoring whether the manuscript truly met reproducibility, ethics, and transparency requirements and giving itemized improvement suggestions.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After Manuscript Completion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a previously informal step—skimming through submission checklists after a paper is “done”—as a concrete post‑completion problem of machine‑verifiable compliance, highlighting missing infrastructure for authors to systematically audit finished manuscripts before they enter peer review.</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LLM feedback pipelines over full paper PDFs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Large‑scale pipelines fed entire PDF manuscripts into GPT‑4‑like models to generate structured feedback on novelty, clarity and methodological soundness, then compared those comments against human peer reviews and author perceptions to quantify overlap and usefulness.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After Manuscript Completion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crystallized a new post‑completion question—how to obtain high‑quality, quasi‑peer‑review feedback for any finished manuscript, regardless of venue or access to mentors—pushing the community to think of AI not just as a writing aid but as an always‑available “second review” stage after the draft is complete.</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co-pilots for drafting responses to reviewers and revision plans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Clinical and editorial commentaries explored using ChatGPT‑like systems to interpret reviewer reports, paraphrase critiques, suggest structured response letters, and propose concrete revision actions while checking that revised manuscripts and replies follow journal formatting and tone requirements.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After Manuscript Completion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problematizing the revision phase itself—turning “responding to reviews” into a complex communication and compliance task that many authors struggle with—these works revealed an unserved post‑completion niche where AI needs to manage dialogue, style and guideline adherence long after the main text has been written.</w:t>
            </w:r>
          </w:p>
        </w:tc>
      </w:tr>
    </w:tbl>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