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1</w:t>
      </w:r>
    </w:p>
    <w:tbl>
      <w:tblPr>
        <w:tblStyle w:val="Table1"/>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5"/>
        <w:gridCol w:w="7350"/>
        <w:tblGridChange w:id="0">
          <w:tblGrid>
            <w:gridCol w:w="1695"/>
            <w:gridCol w:w="735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Recognizing the brittleness of publication‑history–based reviewer expertise profiles</w:t>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(2023)</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7">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In 2023, the ACL program chairs reported that roughly a quarter of reviewers had missing or inaccurate Semantic Scholar publication profiles, explicitly noting that conferences relying on such profiles for automated matching hit a hard ceiling on quality and thus had to design alternative matching approaches.</w:t>
            </w:r>
            <w:r w:rsidDel="00000000" w:rsidR="00000000" w:rsidRPr="00000000">
              <w:rPr>
                <w:rtl w:val="0"/>
              </w:rPr>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Reviewer Matching</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reframed reviewer matching from “optimize an assignment over known expertise vectors” to a new problem: how to </w:t>
            </w:r>
            <w:r w:rsidDel="00000000" w:rsidR="00000000" w:rsidRPr="00000000">
              <w:rPr>
                <w:rFonts w:ascii="Times New Roman" w:cs="Times New Roman" w:eastAsia="Times New Roman" w:hAnsi="Times New Roman"/>
                <w:i w:val="1"/>
                <w:iCs w:val="1"/>
                <w:sz w:val="24"/>
                <w:szCs w:val="24"/>
                <w:rtl w:val="0"/>
              </w:rPr>
              <w:t xml:space="preserve">construct and maintain reliable textual expertise representations</w:t>
            </w:r>
            <w:r w:rsidDel="00000000" w:rsidR="00000000" w:rsidRPr="00000000">
              <w:rPr>
                <w:rFonts w:ascii="Times New Roman" w:cs="Times New Roman" w:eastAsia="Times New Roman" w:hAnsi="Times New Roman"/>
                <w:sz w:val="24"/>
                <w:szCs w:val="24"/>
                <w:rtl w:val="0"/>
              </w:rPr>
              <w:t xml:space="preserve"> for reviewers in the first place, under noisy and incomplete metadata. That previously under-articulated problem—expertise signal construction—now underpins modern Reviewer Matching pipelines that infer expertise from self-reports, submissions, and other text rather than relying solely on bibliographic profiles.</w:t>
            </w:r>
          </w:p>
        </w:tc>
      </w:tr>
    </w:tbl>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B">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2</w:t>
      </w:r>
    </w:p>
    <w:tbl>
      <w:tblPr>
        <w:tblStyle w:val="Table2"/>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0"/>
        <w:gridCol w:w="7155"/>
        <w:tblGridChange w:id="0">
          <w:tblGrid>
            <w:gridCol w:w="1890"/>
            <w:gridCol w:w="715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Formulating reviewer–paper compatibility as multi-dimensional (topic, contribution type, language) rather than just “topic similarity”</w:t>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(2023)</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1">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ACL 2023 introduced the ACL (Area–Contribution–Language) matching workflow: papers and reviewers were described along three orthogonal dimensions—subarea/topic, type of contribution (e.g., theory, dataset, engineering), and target language(s)—and the matching explicitly aimed to satisfy all three at once.</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Reviewer Matching</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created a new problem formulation: reviewer matching as </w:t>
            </w:r>
            <w:r w:rsidDel="00000000" w:rsidR="00000000" w:rsidRPr="00000000">
              <w:rPr>
                <w:rFonts w:ascii="Times New Roman" w:cs="Times New Roman" w:eastAsia="Times New Roman" w:hAnsi="Times New Roman"/>
                <w:i w:val="1"/>
                <w:iCs w:val="1"/>
                <w:sz w:val="24"/>
                <w:szCs w:val="24"/>
                <w:rtl w:val="0"/>
              </w:rPr>
              <w:t xml:space="preserve">multi-objective compatibility</w:t>
            </w:r>
            <w:r w:rsidDel="00000000" w:rsidR="00000000" w:rsidRPr="00000000">
              <w:rPr>
                <w:rFonts w:ascii="Times New Roman" w:cs="Times New Roman" w:eastAsia="Times New Roman" w:hAnsi="Times New Roman"/>
                <w:sz w:val="24"/>
                <w:szCs w:val="24"/>
                <w:rtl w:val="0"/>
              </w:rPr>
              <w:t xml:space="preserve"> across heterogeneous textual facets, not just embedding similarity between abstracts. It opened up today’s Reviewer Matching agenda around jointly modeling topical fit, methodological fit, language competence, and reviewer interest as separate but interacting dimensions extracted from text and metadata.</w:t>
            </w:r>
          </w:p>
        </w:tc>
      </w:tr>
    </w:tbl>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5">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3</w:t>
      </w:r>
    </w:p>
    <w:tbl>
      <w:tblPr>
        <w:tblStyle w:val="Table3"/>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7080"/>
        <w:tblGridChange w:id="0">
          <w:tblGrid>
            <w:gridCol w:w="1965"/>
            <w:gridCol w:w="708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Treating reviewer–paper similarity estimation itself as a supervised evaluation problem rather than a hidden heuristic</w:t>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(2023)</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B">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Stelmakh et al. released a gold-standard dataset where reviewers rated their own expertise for specific papers and used it to show that widely used matching algorithms mis-order relevant vs. irrelevant papers at surprisingly high rates, even with state-of-the-art text and embedding-based similarity scores.</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Reviewer Matching</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of “here is a better matcher,” this work posed a new problem: </w:t>
            </w:r>
            <w:r w:rsidDel="00000000" w:rsidR="00000000" w:rsidRPr="00000000">
              <w:rPr>
                <w:rFonts w:ascii="Times New Roman" w:cs="Times New Roman" w:eastAsia="Times New Roman" w:hAnsi="Times New Roman"/>
                <w:i w:val="1"/>
                <w:iCs w:val="1"/>
                <w:sz w:val="24"/>
                <w:szCs w:val="24"/>
                <w:rtl w:val="0"/>
              </w:rPr>
              <w:t xml:space="preserve">how wrong are our similarity scores, and how should we evaluate them against human expertise labels?</w:t>
            </w:r>
            <w:r w:rsidDel="00000000" w:rsidR="00000000" w:rsidRPr="00000000">
              <w:rPr>
                <w:rFonts w:ascii="Times New Roman" w:cs="Times New Roman" w:eastAsia="Times New Roman" w:hAnsi="Times New Roman"/>
                <w:sz w:val="24"/>
                <w:szCs w:val="24"/>
                <w:rtl w:val="0"/>
              </w:rPr>
              <w:t xml:space="preserve"> That redefined Reviewer Matching as learning calibrated expertise predictors from textual artifacts, turning similarity estimation into an explicit, measurable target rather than an opaque intermediate gadget.</w:t>
            </w:r>
          </w:p>
        </w:tc>
      </w:tr>
    </w:tbl>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F">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4</w:t>
      </w:r>
    </w:p>
    <w:tbl>
      <w:tblPr>
        <w:tblStyle w:val="Table4"/>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0"/>
        <w:gridCol w:w="7365"/>
        <w:tblGridChange w:id="0">
          <w:tblGrid>
            <w:gridCol w:w="1680"/>
            <w:gridCol w:w="736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Modeling reviewer matching under strategic bidding and collusion rather than assuming honest preference signals</w:t>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(2023–2024)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5">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A line of work first curated a dataset on malicious paper bidding in peer review and then showed that “collusion rings” of reviewers can systematically manipulate assignments through coordinated bids, while remaining largely undetected by standard anomaly-detection methods; in realistic bidding data, colluders could get assigned to a large fraction of each other’s papers.</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Reviewer Matching</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surfaced a new problem: Reviewer Matching must operate when its core input signals—bids and declared interests—are </w:t>
            </w:r>
            <w:r w:rsidDel="00000000" w:rsidR="00000000" w:rsidRPr="00000000">
              <w:rPr>
                <w:rFonts w:ascii="Times New Roman" w:cs="Times New Roman" w:eastAsia="Times New Roman" w:hAnsi="Times New Roman"/>
                <w:i w:val="1"/>
                <w:iCs w:val="1"/>
                <w:sz w:val="24"/>
                <w:szCs w:val="24"/>
                <w:rtl w:val="0"/>
              </w:rPr>
              <w:t xml:space="preserve">strategically corrupted</w:t>
            </w:r>
            <w:r w:rsidDel="00000000" w:rsidR="00000000" w:rsidRPr="00000000">
              <w:rPr>
                <w:rFonts w:ascii="Times New Roman" w:cs="Times New Roman" w:eastAsia="Times New Roman" w:hAnsi="Times New Roman"/>
                <w:sz w:val="24"/>
                <w:szCs w:val="24"/>
                <w:rtl w:val="0"/>
              </w:rPr>
              <w:t xml:space="preserve">, not just noisy. That adversarial framing now informs modern Reviewer Matching work on robust assignment under strategic behavior, conflict-of-interest mining from text, and cross-checking bids with textual similarity and social graphs.</w:t>
            </w:r>
          </w:p>
        </w:tc>
      </w:tr>
    </w:tbl>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9">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5</w:t>
      </w:r>
    </w:p>
    <w:tbl>
      <w:tblPr>
        <w:tblStyle w:val="Table5"/>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0"/>
        <w:gridCol w:w="7455"/>
        <w:tblGridChange w:id="0">
          <w:tblGrid>
            <w:gridCol w:w="1590"/>
            <w:gridCol w:w="745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Human-in-the-loop document matching that optimizes </w:t>
            </w:r>
            <w:r w:rsidDel="00000000" w:rsidR="00000000" w:rsidRPr="00000000">
              <w:rPr>
                <w:rFonts w:ascii="Times New Roman" w:cs="Times New Roman" w:eastAsia="Times New Roman" w:hAnsi="Times New Roman"/>
                <w:i w:val="1"/>
                <w:iCs w:val="1"/>
                <w:sz w:val="24"/>
                <w:szCs w:val="24"/>
                <w:rtl w:val="0"/>
              </w:rPr>
              <w:t xml:space="preserve">what information</w:t>
            </w:r>
            <w:r w:rsidDel="00000000" w:rsidR="00000000" w:rsidRPr="00000000">
              <w:rPr>
                <w:rFonts w:ascii="Times New Roman" w:cs="Times New Roman" w:eastAsia="Times New Roman" w:hAnsi="Times New Roman"/>
                <w:sz w:val="24"/>
                <w:szCs w:val="24"/>
                <w:rtl w:val="0"/>
              </w:rPr>
              <w:t xml:space="preserve"> is shown to decision makers, not just which scores are computed</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(2023)</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F">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Kim et al. studied model-assisted “document matching” with peer review as a central motivating example, using a proxy task where humans matched summaries to articles while seeing model suggestions; they found that conventional model explanations </w:t>
            </w:r>
            <w:r w:rsidDel="00000000" w:rsidR="00000000" w:rsidRPr="00000000">
              <w:rPr>
                <w:rFonts w:ascii="Times New Roman" w:cs="Times New Roman" w:eastAsia="Times New Roman" w:hAnsi="Times New Roman"/>
                <w:i w:val="1"/>
                <w:iCs w:val="1"/>
                <w:sz w:val="24"/>
                <w:szCs w:val="24"/>
                <w:rtl w:val="0"/>
              </w:rPr>
              <w:t xml:space="preserve">reduced</w:t>
            </w:r>
            <w:r w:rsidDel="00000000" w:rsidR="00000000" w:rsidRPr="00000000">
              <w:rPr>
                <w:rFonts w:ascii="Times New Roman" w:cs="Times New Roman" w:eastAsia="Times New Roman" w:hAnsi="Times New Roman"/>
                <w:sz w:val="24"/>
                <w:szCs w:val="24"/>
                <w:rtl w:val="0"/>
              </w:rPr>
              <w:t xml:space="preserve"> accuracy, while carefully designed task-specific assistive signals improved both accuracy and speed.</w:t>
            </w:r>
            <w:r w:rsidDel="00000000" w:rsidR="00000000" w:rsidRPr="00000000">
              <w:rPr>
                <w:rtl w:val="0"/>
              </w:rPr>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Reviewer Matching</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work reframed Reviewer Matching as “designing information surfaces for area chairs and meta-reviewers” rather than purely an optimization over scores—raising new questions about which textual cues, highlights, or summaries of reviewer expertise should be generated and displayed. That human-centric problem formulation underlies current Reviewer Matching systems that integrate interactive tools, explanations, and curated reviewer profiles instead of one-shot automatic assignments.</w:t>
            </w:r>
          </w:p>
        </w:tc>
      </w:tr>
    </w:tbl>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3">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6</w:t>
      </w:r>
    </w:p>
    <w:tbl>
      <w:tblPr>
        <w:tblStyle w:val="Table6"/>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0"/>
        <w:gridCol w:w="7365"/>
        <w:tblGridChange w:id="0">
          <w:tblGrid>
            <w:gridCol w:w="1680"/>
            <w:gridCol w:w="736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Viewing peer review as an end-to-end NLP workflow with reviewer matching as one interacting stage</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9">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Kuznetsov et al. articulated peer review as a full pipeline—from submission through reviews, discussion, and revision—and systematically catalogued where NLP could help (triage, reviewer suggestion, discussion summarization, decision support), while curating a repository of peer-review datasets to enable this agenda.</w:t>
            </w:r>
            <w:r w:rsidDel="00000000" w:rsidR="00000000" w:rsidRPr="00000000">
              <w:rPr>
                <w:rtl w:val="0"/>
              </w:rPr>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Reviewer Matching</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embedding Reviewer Matching into a larger, text-heavy workflow, this perspective introduced new problem questions like how assignments should anticipate later discussion, how matching interacts with triage or COI detection, and how to evaluate matching in terms of downstream review quality. That broadened today’s Reviewer Matching topic from “assign each paper three experts” to “optimize assignments in the context of the whole peer-review process.”</w:t>
            </w:r>
          </w:p>
        </w:tc>
      </w:tr>
    </w:tbl>
    <w:p w:rsidR="00000000" w:rsidDel="00000000" w:rsidP="00000000" w:rsidRDefault="00000000" w:rsidRPr="00000000" w14:paraId="0000003C">
      <w:pPr>
        <w:spacing w:after="160" w:line="301.09090909090907"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3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