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influence patterns as a probe of emergent LLM generalization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 on </w:t>
            </w:r>
            <w:r w:rsidDel="00000000" w:rsidR="00000000" w:rsidRPr="00000000">
              <w:rPr>
                <w:rFonts w:ascii="Times New Roman" w:cs="Times New Roman" w:eastAsia="Times New Roman" w:hAnsi="Times New Roman"/>
                <w:i w:val="1"/>
                <w:iCs w:val="1"/>
                <w:sz w:val="24"/>
                <w:szCs w:val="24"/>
                <w:rtl w:val="0"/>
              </w:rPr>
              <w:t xml:space="preserve">Studying Large Language Model Generalization with Influence Functions</w:t>
            </w:r>
            <w:r w:rsidDel="00000000" w:rsidR="00000000" w:rsidRPr="00000000">
              <w:rPr>
                <w:rFonts w:ascii="Times New Roman" w:cs="Times New Roman" w:eastAsia="Times New Roman" w:hAnsi="Times New Roman"/>
                <w:sz w:val="24"/>
                <w:szCs w:val="24"/>
                <w:rtl w:val="0"/>
              </w:rPr>
              <w:t xml:space="preserve"> scaled influence functions to LLMs with tens of billions of parameters and used them to analyze how particular pretraining sequences affect behaviors like math, programming, cross‑lingual transfer, and role‑playing. This framed influence scores not just as debugging tools but as a systematic way to study generalization phenomena that only appear at LLM scale.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asking “how do we approximate influence functions efficiently,” this work posed a new </w:t>
            </w:r>
            <w:r w:rsidDel="00000000" w:rsidR="00000000" w:rsidRPr="00000000">
              <w:rPr>
                <w:rFonts w:ascii="Times New Roman" w:cs="Times New Roman" w:eastAsia="Times New Roman" w:hAnsi="Times New Roman"/>
                <w:i w:val="1"/>
                <w:i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use training-data influence as a lens on emergent LLM behaviors and generalization patterns. That shift from “explain one prediction” to “map how entire behavior families depend on data” underpins today’s broader Influence Analysis agenda for LLMs.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440"/>
        <w:tblGridChange w:id="0">
          <w:tblGrid>
            <w:gridCol w:w="1605"/>
            <w:gridCol w:w="74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Fact-level tracing: identifying concrete training snippets as the “source” of an LLM’s factual claims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work like FASTTRACK: Fast and Accurate Fact Tracing for LLMs formalized </w:t>
            </w:r>
            <w:r w:rsidDel="00000000" w:rsidR="00000000" w:rsidRPr="00000000">
              <w:rPr>
                <w:rFonts w:ascii="Times New Roman" w:cs="Times New Roman" w:eastAsia="Times New Roman" w:hAnsi="Times New Roman"/>
                <w:i w:val="1"/>
                <w:iCs w:val="1"/>
                <w:sz w:val="24"/>
                <w:szCs w:val="24"/>
                <w:rtl w:val="0"/>
              </w:rPr>
              <w:t xml:space="preserve">fact tracing</w:t>
            </w:r>
            <w:r w:rsidDel="00000000" w:rsidR="00000000" w:rsidRPr="00000000">
              <w:rPr>
                <w:rFonts w:ascii="Times New Roman" w:cs="Times New Roman" w:eastAsia="Times New Roman" w:hAnsi="Times New Roman"/>
                <w:sz w:val="24"/>
                <w:szCs w:val="24"/>
                <w:rtl w:val="0"/>
              </w:rPr>
              <w:t xml:space="preserve"> as a task: given a factual answer from an LLM, find the specific training examples that genuinely support that fact rather than just being lexically or embedding‑similar. Building on earlier “trace knowledge back to training data” benchmarks, it emphasized the mismatch between merely relevant neighbors and actual evidence sentences, and showed LLM‑assisted clustering could close that gap efficiently.</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carved out a new problem distinct from generic influence functions: fact‑centric influence analysis, where the goal is to find knowledge sources for specific assertions and hallucinations. That problem framing—“which snippets taught the model this fact?”—is now central to Influence Analysis, especially for provenance, debugging, and hallucination diagnosis.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00"/>
        <w:tblGridChange w:id="0">
          <w:tblGrid>
            <w:gridCol w:w="1545"/>
            <w:gridCol w:w="75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Governance‑driven influence analysis: attribution for IP, hallucination tracing, and data‑owner credit</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wave of 2024 work explicitly tied training‑data attribution to governance: Wu et al. positioned TDA as a way to support intellectual‑property protection and hallucination tracing in black‑box LLMs, rather than just interpretability. Fotouhi et al.’s </w:t>
            </w:r>
            <w:r w:rsidDel="00000000" w:rsidR="00000000" w:rsidRPr="00000000">
              <w:rPr>
                <w:rFonts w:ascii="Times New Roman" w:cs="Times New Roman" w:eastAsia="Times New Roman" w:hAnsi="Times New Roman"/>
                <w:i w:val="1"/>
                <w:iCs w:val="1"/>
                <w:sz w:val="24"/>
                <w:szCs w:val="24"/>
                <w:rtl w:val="0"/>
              </w:rPr>
              <w:t xml:space="preserve">Fast Training Dataset Attribution via In‑Context Learning</w:t>
            </w:r>
            <w:r w:rsidDel="00000000" w:rsidR="00000000" w:rsidRPr="00000000">
              <w:rPr>
                <w:rFonts w:ascii="Times New Roman" w:cs="Times New Roman" w:eastAsia="Times New Roman" w:hAnsi="Times New Roman"/>
                <w:sz w:val="24"/>
                <w:szCs w:val="24"/>
                <w:rtl w:val="0"/>
              </w:rPr>
              <w:t xml:space="preserve"> described TDA as critical for model accountability, data management, and fair compensation for proprietary data sources, while blog work on scaling TDA highlighted its value for transparency and dataset curation at LLM scale.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reframed influence analysis from a niche interpretability task into a compliance and governance problem: given an output, which datasets and owners meaningfully contributed? That new problem—credit assignment, liability, and provenance at the level of data sources—now drives much of the mainline Influence Analysis research and policy discussion.</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55"/>
        <w:tblGridChange w:id="0">
          <w:tblGrid>
            <w:gridCol w:w="1590"/>
            <w:gridCol w:w="74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Black-box, source-level influence analysis via in‑context “what-if” experiments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Fast Training Dataset Attribution via In‑Context Learning</w:t>
            </w:r>
            <w:r w:rsidDel="00000000" w:rsidR="00000000" w:rsidRPr="00000000">
              <w:rPr>
                <w:rFonts w:ascii="Times New Roman" w:cs="Times New Roman" w:eastAsia="Times New Roman" w:hAnsi="Times New Roman"/>
                <w:sz w:val="24"/>
                <w:szCs w:val="24"/>
                <w:rtl w:val="0"/>
              </w:rPr>
              <w:t xml:space="preserve"> proposed estimating how much different training data sources contribute to an instruction‑tuned LLM’s behavior using only black‑box access: compare outputs with and without context representing each source, and fit a mixture model to decompose contributions. This directly targeted realistic settings where model weights and training pipeline are inaccessible.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just a new estimator, this defined a new problem setting: influence analysis when you </w:t>
            </w:r>
            <w:r w:rsidDel="00000000" w:rsidR="00000000" w:rsidRPr="00000000">
              <w:rPr>
                <w:rFonts w:ascii="Times New Roman" w:cs="Times New Roman" w:eastAsia="Times New Roman" w:hAnsi="Times New Roman"/>
                <w:i w:val="1"/>
                <w:iCs w:val="1"/>
                <w:sz w:val="24"/>
                <w:szCs w:val="24"/>
                <w:rtl w:val="0"/>
              </w:rPr>
              <w:t xml:space="preserve">cannot</w:t>
            </w:r>
            <w:r w:rsidDel="00000000" w:rsidR="00000000" w:rsidRPr="00000000">
              <w:rPr>
                <w:rFonts w:ascii="Times New Roman" w:cs="Times New Roman" w:eastAsia="Times New Roman" w:hAnsi="Times New Roman"/>
                <w:sz w:val="24"/>
                <w:szCs w:val="24"/>
                <w:rtl w:val="0"/>
              </w:rPr>
              <w:t xml:space="preserve"> retrain or inspect the model, and only have query access plus high‑level source labels. Today’s Influence Analysis work on third‑party and proprietary LLMs—using prompts and counterfactual contexts to infer data influence—largely follows this black‑box problem formulation.</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605"/>
        <w:tblGridChange w:id="0">
          <w:tblGrid>
            <w:gridCol w:w="1440"/>
            <w:gridCol w:w="76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analysis under multi-stage, partially fitted training pipelines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Wu et al.’s DDA method stressed that most influence‑function‑based TDA assumes models are trained to (near) empirical‑risk minima, which is unrealistic for multi‑stage LLM training; they modeled fitting errors and pretraining “knowledge bias” as core obstacles that must be debiased and denoised for LLM TDA to be meaningful. In parallel, Bae et al. introduced </w:t>
            </w:r>
            <w:r w:rsidDel="00000000" w:rsidR="00000000" w:rsidRPr="00000000">
              <w:rPr>
                <w:rFonts w:ascii="Times New Roman" w:cs="Times New Roman" w:eastAsia="Times New Roman" w:hAnsi="Times New Roman"/>
                <w:i w:val="1"/>
                <w:iCs w:val="1"/>
                <w:sz w:val="24"/>
                <w:szCs w:val="24"/>
                <w:rtl w:val="0"/>
              </w:rPr>
              <w:t xml:space="preserve">Training Data Attribution via Approximate Unrolling</w:t>
            </w:r>
            <w:r w:rsidDel="00000000" w:rsidR="00000000" w:rsidRPr="00000000">
              <w:rPr>
                <w:rFonts w:ascii="Times New Roman" w:cs="Times New Roman" w:eastAsia="Times New Roman" w:hAnsi="Times New Roman"/>
                <w:sz w:val="24"/>
                <w:szCs w:val="24"/>
                <w:rtl w:val="0"/>
              </w:rPr>
              <w:t xml:space="preserve">, framing influence analysis explicitly in terms of approximate optimization trajectories rather than idealized closed‑form influence, again motivated by modern deep training dynamics.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works moved the field from “assume ideal training, then compute influence” to a new problem: define and estimate influence when training is multi‑stage, partially converged, and confounded by a powerful base model. That problem-space shift is now central to Influence Analysis for real LLM pipelines, where pretraining, SFT, and RLHF all entangle data influence.</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Influence-guided behavior correction: using data influence to </w:t>
            </w:r>
            <w:r w:rsidDel="00000000" w:rsidR="00000000" w:rsidRPr="00000000">
              <w:rPr>
                <w:rFonts w:ascii="Times New Roman" w:cs="Times New Roman" w:eastAsia="Times New Roman" w:hAnsi="Times New Roman"/>
                <w:i w:val="1"/>
                <w:iCs w:val="1"/>
                <w:sz w:val="24"/>
                <w:szCs w:val="24"/>
                <w:rtl w:val="0"/>
              </w:rPr>
              <w:t xml:space="preserve">edit</w:t>
            </w:r>
            <w:r w:rsidDel="00000000" w:rsidR="00000000" w:rsidRPr="00000000">
              <w:rPr>
                <w:rFonts w:ascii="Times New Roman" w:cs="Times New Roman" w:eastAsia="Times New Roman" w:hAnsi="Times New Roman"/>
                <w:sz w:val="24"/>
                <w:szCs w:val="24"/>
                <w:rtl w:val="0"/>
              </w:rPr>
              <w:t xml:space="preserve"> model behavior without new human labels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Correcting Large Language Model Behavior via Influence Function</w:t>
            </w:r>
            <w:r w:rsidDel="00000000" w:rsidR="00000000" w:rsidRPr="00000000">
              <w:rPr>
                <w:rFonts w:ascii="Times New Roman" w:cs="Times New Roman" w:eastAsia="Times New Roman" w:hAnsi="Times New Roman"/>
                <w:sz w:val="24"/>
                <w:szCs w:val="24"/>
                <w:rtl w:val="0"/>
              </w:rPr>
              <w:t xml:space="preserve"> (LANCET) framed a pipeline where influence functions are used to locate training samples most responsible for undesirable outputs, then a targeted post‑training procedure adjusts the model according to those influence distributions—aiming to realign behavior as preferences evolve, without collecting new human feedback.</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Influence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influence analysis from a purely diagnostic activity to a behavior‑editing problem: how can we use knowledge of influential data to systematically correct or update model behavior as norms and requirements change? That data‑centric correction problem is now a major branch of Influence Analysis, especially in safety and alignment for frontier LLMs.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