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35"/>
        <w:tblGridChange w:id="0">
          <w:tblGrid>
            <w:gridCol w:w="2610"/>
            <w:gridCol w:w="64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Entity-centric semantics in machine-learning results tables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the S2abEL work introduced the first dataset for entity linking in scientific tables, focusing on ML results tables and showing that disambiguating table cells requires combining table structure, textual cell types, and the surrounding paper text to link to a domain taxonomy (PapersWithCode).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Table &amp; Chart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reframed tables from “just structured data” into semantic objects that must be read like text, where cells encode entities, sources, and comparisons that only make sense in context. That opened the problem space of Table &amp; Chart Scientific Comprehension as understanding </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each cell and row means scientifically, not merely parsing rows and columns.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465"/>
        <w:tblGridChange w:id="0">
          <w:tblGrid>
            <w:gridCol w:w="2580"/>
            <w:gridCol w:w="64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scientific table–text reasoning as a dedicated QA target</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SciTabQA introduced a QA benchmark over scientific tables and their textual descriptions in computer-science papers, explicitly testing whether models can combine structured table values with unstructured explanatory text to answer numerically and logically complex questions.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Table &amp; Chart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treating table QA as generic database querying, this defined a new problem: comprehending scientific tables in concert with nearby prose, including units, experimental conditions, and result narratives. That hybrid formulation is now central to Table &amp; Chart Scientific Comprehension, where interpreting what a table “says” requires jointly reading numbers and explanatory text.</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420"/>
        <w:tblGridChange w:id="0">
          <w:tblGrid>
            <w:gridCol w:w="2625"/>
            <w:gridCol w:w="64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Logical-structure-focused QA on real scientific charts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RealCQA proposed scientific chart QA on </w:t>
            </w:r>
            <w:r w:rsidDel="00000000" w:rsidR="00000000" w:rsidRPr="00000000">
              <w:rPr>
                <w:rFonts w:ascii="Times New Roman" w:cs="Times New Roman" w:eastAsia="Times New Roman" w:hAnsi="Times New Roman"/>
                <w:i w:val="1"/>
                <w:iCs w:val="1"/>
                <w:sz w:val="24"/>
                <w:szCs w:val="24"/>
                <w:rtl w:val="0"/>
              </w:rPr>
              <w:t xml:space="preserve">real</w:t>
            </w:r>
            <w:r w:rsidDel="00000000" w:rsidR="00000000" w:rsidRPr="00000000">
              <w:rPr>
                <w:rFonts w:ascii="Times New Roman" w:cs="Times New Roman" w:eastAsia="Times New Roman" w:hAnsi="Times New Roman"/>
                <w:sz w:val="24"/>
                <w:szCs w:val="24"/>
                <w:rtl w:val="0"/>
              </w:rPr>
              <w:t xml:space="preserve"> figures from the literature, with a taxonomy of template-based questions (including new list-style answers) explicitly designed to test first-order logical reasoning over chart structure and values, not just reading off labels.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Table &amp; Chart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turned scientific charts into logical objects whose comprehension involves verifying structured relationships, quantifiers, and list-style answers. That repositioned chart understanding as a reasoning-heavy comprehension problem—“does the chart logically support this claim?”—which is now a core facet of Table &amp; Chart Scientific Comprehension.</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6540"/>
        <w:tblGridChange w:id="0">
          <w:tblGrid>
            <w:gridCol w:w="2505"/>
            <w:gridCol w:w="65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Dialogue-style comprehension of academic graphs grounded in paper context</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SciGraphQA created a large multi-turn QA dataset where dialogues about academic graphs in CS/ML papers are generated using paper metadata, the paragraph mentioning the graph, and serialized chart data, yielding open-vocabulary conversations about patterns, comparisons, and trends in the graphs.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Table &amp; Chart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framing chart understanding as interactive, multi-turn questioning tied to the surrounding text, this work posed a new problem: models must maintain a coherent mental model of a scientific graph across questions, grounded in both visual data and the paper narrative. That conversational perspective underlies current views of Table &amp; Chart Scientific Comprehension as an ongoing “reading” process rather than a one-shot lookup.</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50"/>
        <w:tblGridChange w:id="0">
          <w:tblGrid>
            <w:gridCol w:w="2595"/>
            <w:gridCol w:w="6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Document-level chart understanding with layout and commonsense constraints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DCQA introduced </w:t>
            </w:r>
            <w:r w:rsidDel="00000000" w:rsidR="00000000" w:rsidRPr="00000000">
              <w:rPr>
                <w:rFonts w:ascii="Times New Roman" w:cs="Times New Roman" w:eastAsia="Times New Roman" w:hAnsi="Times New Roman"/>
                <w:i w:val="1"/>
                <w:iCs w:val="1"/>
                <w:sz w:val="24"/>
                <w:szCs w:val="24"/>
                <w:rtl w:val="0"/>
              </w:rPr>
              <w:t xml:space="preserve">document-level chart QA</w:t>
            </w:r>
            <w:r w:rsidDel="00000000" w:rsidR="00000000" w:rsidRPr="00000000">
              <w:rPr>
                <w:rFonts w:ascii="Times New Roman" w:cs="Times New Roman" w:eastAsia="Times New Roman" w:hAnsi="Times New Roman"/>
                <w:sz w:val="24"/>
                <w:szCs w:val="24"/>
                <w:rtl w:val="0"/>
              </w:rPr>
              <w:t xml:space="preserve">, where models must first locate charts via layout analysis and then answer complex, often commonsense-heavy questions that depend on both the chart and the broader visually rich document, across multiple chart styles.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Table &amp; Chart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DCQA elevated the problem from “standalone chart QA” to chart comprehension in the context of an entire document, with layout, multiple figures, and non-visual context all mattering for the answer. That formulation is a direct precursor to Table &amp; Chart Scientific Comprehension as understanding how tables and charts function within full scientific documents, not in isolation.</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570"/>
        <w:tblGridChange w:id="0">
          <w:tblGrid>
            <w:gridCol w:w="2475"/>
            <w:gridCol w:w="65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Holistic multimodal question answering over tables and figures in scientific literature</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SPIQA defined a large-scale QA task over figures and tables inside full scientific papers, with questions that require interpreting plots, charts, tables, and schematics in the context of the article’s text, while M3SciQA (2024) extended this to multi-document settings where evidence spans figures, tables, and text across an anchor paper and its cited works.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Table &amp; Chart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they articulated a new, holistic problem: comprehending tables and charts as part of multi-modal, sometimes multi-paper scientific reasoning, where answering a question may require linking visual evidence to textual claims across documents. That holistic multimodal framing is essentially the modern mainframe topic of Table &amp; Chart Scientific Comprehension.</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