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470"/>
        <w:tblGridChange w:id="0">
          <w:tblGrid>
            <w:gridCol w:w="1575"/>
            <w:gridCol w:w="74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Feature‑prior dominance in in‑context learning under underspecified prompts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on in‑context learning probed LLMs with </w:t>
            </w:r>
            <w:r w:rsidDel="00000000" w:rsidR="00000000" w:rsidRPr="00000000">
              <w:rPr>
                <w:rFonts w:ascii="Times New Roman" w:cs="Times New Roman" w:eastAsia="Times New Roman" w:hAnsi="Times New Roman"/>
                <w:i w:val="1"/>
                <w:iCs w:val="1"/>
                <w:sz w:val="24"/>
                <w:szCs w:val="24"/>
                <w:rtl w:val="0"/>
              </w:rPr>
              <w:t xml:space="preserve">underspecified demonstrations</w:t>
            </w:r>
            <w:r w:rsidDel="00000000" w:rsidR="00000000" w:rsidRPr="00000000">
              <w:rPr>
                <w:rFonts w:ascii="Times New Roman" w:cs="Times New Roman" w:eastAsia="Times New Roman" w:hAnsi="Times New Roman"/>
                <w:sz w:val="24"/>
                <w:szCs w:val="24"/>
                <w:rtl w:val="0"/>
              </w:rPr>
              <w:t xml:space="preserve"> where multiple features (e.g., sentiment vs topic) were equally predictive, and found that models systematically preferred some features over others (e.g., sentiment over punctuation or topic) even when prompts were designed to be neutral. Follow‑up survey and analysis work in 2024 framed these as strong prior biases that many prompt‑level interventions struggle to override.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surfaced a problem that hadn’t been crisply stated before: LLMs come with feature‑level priors that can overpower the evidence in the context, behaving more like a strong prior than a flexible listener. Instead of asking “how to prompt better,” this direction implicitly posed a new question—</w:t>
            </w:r>
            <w:r w:rsidDel="00000000" w:rsidR="00000000" w:rsidRPr="00000000">
              <w:rPr>
                <w:rFonts w:ascii="Times New Roman" w:cs="Times New Roman" w:eastAsia="Times New Roman" w:hAnsi="Times New Roman"/>
                <w:i w:val="1"/>
                <w:iCs w:val="1"/>
                <w:sz w:val="24"/>
                <w:szCs w:val="24"/>
                <w:rtl w:val="0"/>
              </w:rPr>
              <w:t xml:space="preserve">how strong are the model’s built‑in priors over hypotheses, and when are they too strong to be corrected by in‑context data?</w:t>
            </w:r>
            <w:r w:rsidDel="00000000" w:rsidR="00000000" w:rsidRPr="00000000">
              <w:rPr>
                <w:rFonts w:ascii="Times New Roman" w:cs="Times New Roman" w:eastAsia="Times New Roman" w:hAnsi="Times New Roman"/>
                <w:sz w:val="24"/>
                <w:szCs w:val="24"/>
                <w:rtl w:val="0"/>
              </w:rPr>
              <w:t xml:space="preserve">—which is exactly the axis of “Model Prior: Weak and Strong.”</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620"/>
        <w:tblGridChange w:id="0">
          <w:tblGrid>
            <w:gridCol w:w="1425"/>
            <w:gridCol w:w="76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the tug‑of‑war between pretraining priors and contextual evidence</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work on context vs prior knowledge defined mutual‑information‑style metrics for how much a model’s answer depends on its background knowledge vs a supplied context, showing that reliance on prior knowledge varies systematically with entity “familiarity” and that some entities are much harder to sway away from the pretrained answer distribution. Parallel work on emotion recognition and subjective tasks quantified a “strong pull” of prior knowledge: LLMs often fail to fully integrate in‑context evidence that contradicts their pretrained task priors, leading to predictions that saturate at suboptimal levels, with the effect strengthening for larger models.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hallucination or miscalibration as generic errors, these papers pointed to a </w:t>
            </w:r>
            <w:r w:rsidDel="00000000" w:rsidR="00000000" w:rsidRPr="00000000">
              <w:rPr>
                <w:rFonts w:ascii="Times New Roman" w:cs="Times New Roman" w:eastAsia="Times New Roman" w:hAnsi="Times New Roman"/>
                <w:i w:val="1"/>
                <w:iCs w:val="1"/>
                <w:sz w:val="24"/>
                <w:szCs w:val="24"/>
                <w:rtl w:val="0"/>
              </w:rPr>
              <w:t xml:space="preserve">new problem</w:t>
            </w:r>
            <w:r w:rsidDel="00000000" w:rsidR="00000000" w:rsidRPr="00000000">
              <w:rPr>
                <w:rFonts w:ascii="Times New Roman" w:cs="Times New Roman" w:eastAsia="Times New Roman" w:hAnsi="Times New Roman"/>
                <w:sz w:val="24"/>
                <w:szCs w:val="24"/>
                <w:rtl w:val="0"/>
              </w:rPr>
              <w:t xml:space="preserve">: the model’s internal prior can be too strong or too weak relative to context, in a way that depends on entities and domains. They reframed behaviour not just as “the model ignored the prompt,” but as a mis‑tuned prior‑vs‑likelihood trade‑off, directly motivating today’s mainframe discussion about when model priors are so strong that they resist correction, and when they’re too weak to provide reliable guidance.</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635"/>
        <w:tblGridChange w:id="0">
          <w:tblGrid>
            <w:gridCol w:w="1410"/>
            <w:gridCol w:w="76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Recasting LLMs and in‑context learning as approximate Bayesian inference with implicit task priors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From 2023 into 2024, theoretical and empirical work framed LLMs and ICL as Bayesian learners with latent variables representing tasks or concepts, showing that trained transformers can mimic ideal Bayesian predictors over function classes and that real‑world LLMs can be modeled as latent‑variable systems performing posterior inference in‑context. Surveys on ICL explicitly emphasized inductive bias and noted that a key challenge is </w:t>
            </w:r>
            <w:r w:rsidDel="00000000" w:rsidR="00000000" w:rsidRPr="00000000">
              <w:rPr>
                <w:rFonts w:ascii="Times New Roman" w:cs="Times New Roman" w:eastAsia="Times New Roman" w:hAnsi="Times New Roman"/>
                <w:i w:val="1"/>
                <w:iCs w:val="1"/>
                <w:sz w:val="24"/>
                <w:szCs w:val="24"/>
                <w:rtl w:val="0"/>
              </w:rPr>
              <w:t xml:space="preserve">overcoming strong prior biases</w:t>
            </w:r>
            <w:r w:rsidDel="00000000" w:rsidR="00000000" w:rsidRPr="00000000">
              <w:rPr>
                <w:rFonts w:ascii="Times New Roman" w:cs="Times New Roman" w:eastAsia="Times New Roman" w:hAnsi="Times New Roman"/>
                <w:sz w:val="24"/>
                <w:szCs w:val="24"/>
                <w:rtl w:val="0"/>
              </w:rPr>
              <w:t xml:space="preserve"> so that the model properly uses contextual information instead of defaulting to its pretrained expectations.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By formalizing LLM behaviour as prior × likelihood → posterior, these works turned “model prior” from a vague intuition into an </w:t>
            </w:r>
            <w:r w:rsidDel="00000000" w:rsidR="00000000" w:rsidRPr="00000000">
              <w:rPr>
                <w:rFonts w:ascii="Times New Roman" w:cs="Times New Roman" w:eastAsia="Times New Roman" w:hAnsi="Times New Roman"/>
                <w:i w:val="1"/>
                <w:iCs w:val="1"/>
                <w:sz w:val="24"/>
                <w:szCs w:val="24"/>
                <w:rtl w:val="0"/>
              </w:rPr>
              <w:t xml:space="preserve">explicit object</w:t>
            </w:r>
            <w:r w:rsidDel="00000000" w:rsidR="00000000" w:rsidRPr="00000000">
              <w:rPr>
                <w:rFonts w:ascii="Times New Roman" w:cs="Times New Roman" w:eastAsia="Times New Roman" w:hAnsi="Times New Roman"/>
                <w:sz w:val="24"/>
                <w:szCs w:val="24"/>
                <w:rtl w:val="0"/>
              </w:rPr>
              <w:t xml:space="preserve">: a structured distribution implicitly encoded in the weights. That shift exposed a new problem—</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prior are we actually getting by default, how strong is it, and under what conditions does it dominate or defer to new evidence?—which underlies the modern framing of “weak vs strong” model priors rather than just “good vs bad” pretraining.</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710"/>
        <w:tblGridChange w:id="0">
          <w:tblGrid>
            <w:gridCol w:w="1335"/>
            <w:gridCol w:w="77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eliciting and characterising LLM priors as human‑like (but potentially misaligned) world beliefs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Inspired by cognitive science, 2024 work developed iterated in‑context learning procedures to </w:t>
            </w:r>
            <w:r w:rsidDel="00000000" w:rsidR="00000000" w:rsidRPr="00000000">
              <w:rPr>
                <w:rFonts w:ascii="Times New Roman" w:cs="Times New Roman" w:eastAsia="Times New Roman" w:hAnsi="Times New Roman"/>
                <w:i w:val="1"/>
                <w:iCs w:val="1"/>
                <w:sz w:val="24"/>
                <w:szCs w:val="24"/>
                <w:rtl w:val="0"/>
              </w:rPr>
              <w:t xml:space="preserve">sample directly from the prior</w:t>
            </w:r>
            <w:r w:rsidDel="00000000" w:rsidR="00000000" w:rsidRPr="00000000">
              <w:rPr>
                <w:rFonts w:ascii="Times New Roman" w:cs="Times New Roman" w:eastAsia="Times New Roman" w:hAnsi="Times New Roman"/>
                <w:sz w:val="24"/>
                <w:szCs w:val="24"/>
                <w:rtl w:val="0"/>
              </w:rPr>
              <w:t xml:space="preserve"> of GPT‑4, recovering distributions over causal strengths, proportions, everyday quantities, and speculative world events, and showing qualitative similarity to human priors in several domains. In parallel, transmission‑chain experiments showed that LLMs exhibit human‑like content biases (e.g., toward negative, social, threat‑related information) when repeatedly summarizing stories, indicating entrenched preferences about what information “survives” through generations of model‑mediated transmission.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directions reframed LLMs as entities with explicitly measurable priors over the world and over content, not just opaque weights, exposing a new problem: those priors can be </w:t>
            </w:r>
            <w:r w:rsidDel="00000000" w:rsidR="00000000" w:rsidRPr="00000000">
              <w:rPr>
                <w:rFonts w:ascii="Times New Roman" w:cs="Times New Roman" w:eastAsia="Times New Roman" w:hAnsi="Times New Roman"/>
                <w:i w:val="1"/>
                <w:iCs w:val="1"/>
                <w:sz w:val="24"/>
                <w:szCs w:val="24"/>
                <w:rtl w:val="0"/>
              </w:rPr>
              <w:t xml:space="preserve">strong, structured, and human‑like</w:t>
            </w:r>
            <w:r w:rsidDel="00000000" w:rsidR="00000000" w:rsidRPr="00000000">
              <w:rPr>
                <w:rFonts w:ascii="Times New Roman" w:cs="Times New Roman" w:eastAsia="Times New Roman" w:hAnsi="Times New Roman"/>
                <w:sz w:val="24"/>
                <w:szCs w:val="24"/>
                <w:rtl w:val="0"/>
              </w:rPr>
              <w:t xml:space="preserve">, yet systematically biased or misaligned with desired norms. Once you can </w:t>
            </w:r>
            <w:r w:rsidDel="00000000" w:rsidR="00000000" w:rsidRPr="00000000">
              <w:rPr>
                <w:rFonts w:ascii="Times New Roman" w:cs="Times New Roman" w:eastAsia="Times New Roman" w:hAnsi="Times New Roman"/>
                <w:i w:val="1"/>
                <w:iCs w:val="1"/>
                <w:sz w:val="24"/>
                <w:szCs w:val="24"/>
                <w:rtl w:val="0"/>
              </w:rPr>
              <w:t xml:space="preserve">sample and quantify</w:t>
            </w:r>
            <w:r w:rsidDel="00000000" w:rsidR="00000000" w:rsidRPr="00000000">
              <w:rPr>
                <w:rFonts w:ascii="Times New Roman" w:cs="Times New Roman" w:eastAsia="Times New Roman" w:hAnsi="Times New Roman"/>
                <w:sz w:val="24"/>
                <w:szCs w:val="24"/>
                <w:rtl w:val="0"/>
              </w:rPr>
              <w:t xml:space="preserve"> these priors, the natural next question becomes whether we should treat them as strong priors to be carefully constrained or as weak priors to be overridden and redesigned, which is precisely the “Model Prior: Weak and Strong” mainframe topic.</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