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690"/>
        <w:tblGridChange w:id="0">
          <w:tblGrid>
            <w:gridCol w:w="2355"/>
            <w:gridCol w:w="66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Invisible AI co‑authors and the accountability gap in scholarly authorship</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a wave of publication‑ethics work argued that LLMs were already being used to draft and edit manuscripts, but could neither be authors nor simply be ignored, pushing for explicit disclosure of prompts, model versions, timestamps, and storage of AI interactions as supplementary material.</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Ethics and Safety in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reframed a new problem: </w:t>
            </w:r>
            <w:r w:rsidDel="00000000" w:rsidR="00000000" w:rsidRPr="00000000">
              <w:rPr>
                <w:rFonts w:ascii="Times New Roman" w:cs="Times New Roman" w:eastAsia="Times New Roman" w:hAnsi="Times New Roman"/>
                <w:i w:val="1"/>
                <w:iCs w:val="1"/>
                <w:sz w:val="24"/>
                <w:szCs w:val="24"/>
                <w:rtl w:val="0"/>
              </w:rPr>
              <w:t xml:space="preserve">non‑human agents substantially shape research texts but cannot hold responsibility</w:t>
            </w:r>
            <w:r w:rsidDel="00000000" w:rsidR="00000000" w:rsidRPr="00000000">
              <w:rPr>
                <w:rFonts w:ascii="Times New Roman" w:cs="Times New Roman" w:eastAsia="Times New Roman" w:hAnsi="Times New Roman"/>
                <w:sz w:val="24"/>
                <w:szCs w:val="24"/>
                <w:rtl w:val="0"/>
              </w:rPr>
              <w:t xml:space="preserve">, creating an “accountability gap” in authorship, credit, and liability. That problem now sits at the core of Ethics and Safety in AI4Research, which treats AI contributions as ethically loaded research inputs that must be traceable and attributable.</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LLM-generated fraudulent manuscripts and AI-amplified paper mills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2023 proof‑of‑concept showed ChatGPT could fabricate a full neurosurgical RCT paper—including data tables and citations—in about an hour, producing an article that looked authentic but contained fabricated references and invented results, while standard AI‑text detectors failed to flag it. In 2024, ethical‑writing editorials tied this capability to AI‑driven paper mills and deepfake‑style falsified datasets, warning that detection and curation systems were already being outpaced.</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Ethics and Safety in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“old‑fashioned” human fraud, these papers surfaced a new problem: scalable, low‑cost </w:t>
            </w:r>
            <w:r w:rsidDel="00000000" w:rsidR="00000000" w:rsidRPr="00000000">
              <w:rPr>
                <w:rFonts w:ascii="Times New Roman" w:cs="Times New Roman" w:eastAsia="Times New Roman" w:hAnsi="Times New Roman"/>
                <w:i w:val="1"/>
                <w:iCs w:val="1"/>
                <w:sz w:val="24"/>
                <w:szCs w:val="24"/>
                <w:rtl w:val="0"/>
              </w:rPr>
              <w:t xml:space="preserve">algorithmic</w:t>
            </w:r>
            <w:r w:rsidDel="00000000" w:rsidR="00000000" w:rsidRPr="00000000">
              <w:rPr>
                <w:rFonts w:ascii="Times New Roman" w:cs="Times New Roman" w:eastAsia="Times New Roman" w:hAnsi="Times New Roman"/>
                <w:sz w:val="24"/>
                <w:szCs w:val="24"/>
                <w:rtl w:val="0"/>
              </w:rPr>
              <w:t xml:space="preserve"> fabrication of scientific articles that are hard to detect and can contaminate downstream training corpora and evidence bases. Ethics and Safety in AI4Research now treats safeguarding the scientific record against AI‑generated fake science as a central challenge.</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Deceptively plausible hallucinations and fabricated references in AI-assisted science</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Studies in 2023 found that ChatGPT’s answers to real medical questions had only moderate quality and that about 70% of the references it confidently supplied were fabricated but realistic‑looking citations. Concurrently, medical‑publishing editorials documented LLMs producing entire essays on topics with no underlying research and hallucinating seemingly legitimate reference lists, emphasizing the legal and trust risks of unverified AI‑generated content in manuscripts.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Ethics and Safety in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defined a new problem: AI tools systematically generate </w:t>
            </w:r>
            <w:r w:rsidDel="00000000" w:rsidR="00000000" w:rsidRPr="00000000">
              <w:rPr>
                <w:rFonts w:ascii="Times New Roman" w:cs="Times New Roman" w:eastAsia="Times New Roman" w:hAnsi="Times New Roman"/>
                <w:i w:val="1"/>
                <w:iCs w:val="1"/>
                <w:sz w:val="24"/>
                <w:szCs w:val="24"/>
                <w:rtl w:val="0"/>
              </w:rPr>
              <w:t xml:space="preserve">false but convincing scientific support</w:t>
            </w:r>
            <w:r w:rsidDel="00000000" w:rsidR="00000000" w:rsidRPr="00000000">
              <w:rPr>
                <w:rFonts w:ascii="Times New Roman" w:cs="Times New Roman" w:eastAsia="Times New Roman" w:hAnsi="Times New Roman"/>
                <w:sz w:val="24"/>
                <w:szCs w:val="24"/>
                <w:rtl w:val="0"/>
              </w:rPr>
              <w:t xml:space="preserve"> (claims plus citations), which can slip into research workflows and publications if unchecked. Ethics and Safety in AI4Research now explicitly centers around mitigating this “credibility illusion” by requiring verification regimes, provenance tracking, and human accountability for any AI‑suggested evidence.</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LLMs as unapproved processors of confidential and proprietary research data</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Editorial policies in 2023 warned that reviewers uploading manuscripts to public LLM interfaces risk breaching confidentiality and data‑protection obligations, pointing out that services like free ChatGPT and Claude reserve rights to reuse prompts and thus should not be used on non‑public manuscripts or grant applications. Guidelines for biomedical journals went further, declaring AI use by reviewers and editors impermissible because it can violate confidentiality, proprietary rights, and participant privacy.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Ethics and Safety in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crystallized a previously unnoticed problem: </w:t>
            </w:r>
            <w:r w:rsidDel="00000000" w:rsidR="00000000" w:rsidRPr="00000000">
              <w:rPr>
                <w:rFonts w:ascii="Times New Roman" w:cs="Times New Roman" w:eastAsia="Times New Roman" w:hAnsi="Times New Roman"/>
                <w:i w:val="1"/>
                <w:iCs w:val="1"/>
                <w:sz w:val="24"/>
                <w:szCs w:val="24"/>
                <w:rtl w:val="0"/>
              </w:rPr>
              <w:t xml:space="preserve">peer review and early‑stage research routinely expose sensitive content to external AI providers who are not party to consent or NDAs</w:t>
            </w:r>
            <w:r w:rsidDel="00000000" w:rsidR="00000000" w:rsidRPr="00000000">
              <w:rPr>
                <w:rFonts w:ascii="Times New Roman" w:cs="Times New Roman" w:eastAsia="Times New Roman" w:hAnsi="Times New Roman"/>
                <w:sz w:val="24"/>
                <w:szCs w:val="24"/>
                <w:rtl w:val="0"/>
              </w:rPr>
              <w:t xml:space="preserve">. Ethics and Safety in AI4Research now treats LLMs as data processors with their own risk profiles, driving work on safe deployment modes (on‑prem, API with strict terms, data minimization) and new norms for handling confidential research in prompts.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GenAI risk mapping across every phase of the research lifecycle</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2023 position paper on “Science in the era of ChatGPT, LLMs and generative AI” argued that research ethics review must now treat LLMs simultaneously as instruments and as research subjects, outlining epistemic and integrity risks for scientists, participants, and reviewers. In 2024, a systematic analysis of GenAI for research charted concrete ethical concerns—lack of transparency, bias, censorship, fabrication, copyright violations, and privacy issues—across phases such as question formulation, literature review, data processing, and academic writing.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Ethics and Safety in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works reframed the problem from “Is it okay to use ChatGPT to write?” to “How does GenAI affect </w:t>
            </w:r>
            <w:r w:rsidDel="00000000" w:rsidR="00000000" w:rsidRPr="00000000">
              <w:rPr>
                <w:rFonts w:ascii="Times New Roman" w:cs="Times New Roman" w:eastAsia="Times New Roman" w:hAnsi="Times New Roman"/>
                <w:i w:val="1"/>
                <w:iCs w:val="1"/>
                <w:sz w:val="24"/>
                <w:szCs w:val="24"/>
                <w:rtl w:val="0"/>
              </w:rPr>
              <w:t xml:space="preserve">every</w:t>
            </w:r>
            <w:r w:rsidDel="00000000" w:rsidR="00000000" w:rsidRPr="00000000">
              <w:rPr>
                <w:rFonts w:ascii="Times New Roman" w:cs="Times New Roman" w:eastAsia="Times New Roman" w:hAnsi="Times New Roman"/>
                <w:sz w:val="24"/>
                <w:szCs w:val="24"/>
                <w:rtl w:val="0"/>
              </w:rPr>
              <w:t xml:space="preserve"> stage of research integrity and human‑subject protection?” That lifecycle‑wide framing directly underpins Ethics and Safety in AI4Research, which now studies phase‑specific and cross‑phase risks and designs governance that spans the entire research workflow, not just the final manuscript.</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and fairness risks from AI-assisted peer review and evaluation</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Early publication‑ethics pieces noted that generative AI can already draft “convincing” reviews and editorial decisions, while guidelines cautioned that such use may propagate bias, introduce hallucinations into reviews, and breach confidentiality unless carefully constrained and disclosed. Narrative reviews in 2024 catalogued ethical issues raised by ChatGPT‑like platforms for both authors and reviewers—ranging from undisclosed AI assistance and distorted originality to unequal access and new forms of review manipulation.</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Ethics and Safety in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analyses identified a new problem: </w:t>
            </w:r>
            <w:r w:rsidDel="00000000" w:rsidR="00000000" w:rsidRPr="00000000">
              <w:rPr>
                <w:rFonts w:ascii="Times New Roman" w:cs="Times New Roman" w:eastAsia="Times New Roman" w:hAnsi="Times New Roman"/>
                <w:i w:val="1"/>
                <w:iCs w:val="1"/>
                <w:sz w:val="24"/>
                <w:szCs w:val="24"/>
                <w:rtl w:val="0"/>
              </w:rPr>
              <w:t xml:space="preserve">the evaluation layer of science itself becomes an AI‑mediated socio‑technical system</w:t>
            </w:r>
            <w:r w:rsidDel="00000000" w:rsidR="00000000" w:rsidRPr="00000000">
              <w:rPr>
                <w:rFonts w:ascii="Times New Roman" w:cs="Times New Roman" w:eastAsia="Times New Roman" w:hAnsi="Times New Roman"/>
                <w:sz w:val="24"/>
                <w:szCs w:val="24"/>
                <w:rtl w:val="0"/>
              </w:rPr>
              <w:t xml:space="preserve">, vulnerable to bias, opacity, prompt‑driven manipulation, and erosion of trust. That recognition now shapes Ethics and Safety in AI4Research work on safeguards, disclosure norms, and robustness for AI use in grant reviewing, journal peer review, and other research‑governance processes.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