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465"/>
        <w:tblGridChange w:id="0">
          <w:tblGrid>
            <w:gridCol w:w="2580"/>
            <w:gridCol w:w="64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disclosure and classification of AI assistance in scientific writing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Medical and AI‑ethics communities began proposing principled schemes for classifying and disclosing how AI/LLMs were used in manuscripts, e.g., Hryciw et al.’s multi‑level taxonomy for AI involvement in scientific writing and explicit guidance that authors specify tools, versions, and roles.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a new problem: AI use in research is not just “allowed or banned,” but must be described in a transparent, structured way so readers can see what parts of the research pipeline were AI-mediated. That problem—how to represent and expose AI’s contribution to research texts—now sits at the core of Explainability and Transparency of AI4Research.</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Mechanistic explanation of AI-driven scientific predictions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ExplainableFold proposed counterfactual, biologically grounded explanations for AlphaFold’s protein-structure predictions, arguing that scientists need dry‑lab “what‑if” experiments on residues, not just high accuracy scores, to treat such models as part of scientific understanding.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asking only “can AI discover structures?”, this created a new problem: how can AI models used inside scientific workflows expose mechanistic rationales that domain scientists can interrogate? That mechanistic‑explanation framing is a direct precursor to today’s transparency work on AI4Research tools whose predictions must be scientifically interpretable, not just performant.</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Auditing LLM safeguards and developer transparency as part of scientific infrastructure</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Menz et al. systematically probed multiple public LLMs for health disinformation, then evaluated not only how often safeguards failed but also how transparent providers were about their risk‑mitigation processes, concluding that disclosure and auditing were patchy and insufficient.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shifted attention from “are LLMs safe enough?” to a new problem: researchers rely on opaque commercial systems whose safeguards and governance they cannot see or verify. That infrastructural transparency problem now underpins Explainability and Transparency of AI4Research, motivating audits, documentation, and external evaluation of the LLM platforms embedded in research pipelines.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540"/>
        <w:tblGridChange w:id="0">
          <w:tblGrid>
            <w:gridCol w:w="2505"/>
            <w:gridCol w:w="65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AI‑infused science as a research‑integrity problem around model and data transparency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Policy reports such as the Royal Society’s </w:t>
            </w:r>
            <w:r w:rsidDel="00000000" w:rsidR="00000000" w:rsidRPr="00000000">
              <w:rPr>
                <w:rFonts w:ascii="Times New Roman" w:cs="Times New Roman" w:eastAsia="Times New Roman" w:hAnsi="Times New Roman"/>
                <w:i w:val="1"/>
                <w:iCs w:val="1"/>
                <w:sz w:val="24"/>
                <w:szCs w:val="24"/>
                <w:rtl w:val="0"/>
              </w:rPr>
              <w:t xml:space="preserve">Science in the Age of AI</w:t>
            </w:r>
            <w:r w:rsidDel="00000000" w:rsidR="00000000" w:rsidRPr="00000000">
              <w:rPr>
                <w:rFonts w:ascii="Times New Roman" w:cs="Times New Roman" w:eastAsia="Times New Roman" w:hAnsi="Times New Roman"/>
                <w:sz w:val="24"/>
                <w:szCs w:val="24"/>
                <w:rtl w:val="0"/>
              </w:rPr>
              <w:t xml:space="preserve"> and the EU’s AI‑in‑science evidence review explicitly framed AI‑based research as a research‑integrity challenge, highlighting lack of transparency of AI models and datasets, limited explainability, and barriers to reproducing AI‑mediated results.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reports created a new problem framing for AI4Research: beyond model accuracy, the </w:t>
            </w:r>
            <w:r w:rsidDel="00000000" w:rsidR="00000000" w:rsidRPr="00000000">
              <w:rPr>
                <w:rFonts w:ascii="Times New Roman" w:cs="Times New Roman" w:eastAsia="Times New Roman" w:hAnsi="Times New Roman"/>
                <w:i w:val="1"/>
                <w:iCs w:val="1"/>
                <w:sz w:val="24"/>
                <w:szCs w:val="24"/>
                <w:rtl w:val="0"/>
              </w:rPr>
              <w:t xml:space="preserve">entire</w:t>
            </w:r>
            <w:r w:rsidDel="00000000" w:rsidR="00000000" w:rsidRPr="00000000">
              <w:rPr>
                <w:rFonts w:ascii="Times New Roman" w:cs="Times New Roman" w:eastAsia="Times New Roman" w:hAnsi="Times New Roman"/>
                <w:sz w:val="24"/>
                <w:szCs w:val="24"/>
                <w:rtl w:val="0"/>
              </w:rPr>
              <w:t xml:space="preserve"> AI‑enabled workflow must be inspectable, auditable, and reproducible. That system‑level view of transparency is exactly what today’s Explainability and Transparency of AI4Research tries to operationalize in scientific pipelines and tooling.</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Transparent reporting of AI methods and models in scientific studies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JAMA Network guidance and follow‑on reporting guidelines (TRIPOD‑AI, STARD‑AI, CLAIM 2024, CHART, CANGARU) began requiring authors to describe AI models in detail—architecture, training data, evaluation, limitations—whenever AI is part of the study design or analysis, not just acknowledging “we used AI.”</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defined a concrete new problem: scientific papers must make AI methods transparent enough that other researchers can understand, scrutinize, and reproduce them, which standard ML reporting rarely ensured. That has evolved into a central strand of Explainability and Transparency of AI4Research: method-level documentation and interpretability as mandatory parts of scientific reporting.</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Context-of-discovery vs context-of-justification framing for opaque AI in science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Philosophical work like Duede’s </w:t>
            </w:r>
            <w:r w:rsidDel="00000000" w:rsidR="00000000" w:rsidRPr="00000000">
              <w:rPr>
                <w:rFonts w:ascii="Times New Roman" w:cs="Times New Roman" w:eastAsia="Times New Roman" w:hAnsi="Times New Roman"/>
                <w:i w:val="1"/>
                <w:iCs w:val="1"/>
                <w:sz w:val="24"/>
                <w:szCs w:val="24"/>
                <w:rtl w:val="0"/>
              </w:rPr>
              <w:t xml:space="preserve">Deep Learning Opacity in Scientific Discovery</w:t>
            </w:r>
            <w:r w:rsidDel="00000000" w:rsidR="00000000" w:rsidRPr="00000000">
              <w:rPr>
                <w:rFonts w:ascii="Times New Roman" w:cs="Times New Roman" w:eastAsia="Times New Roman" w:hAnsi="Times New Roman"/>
                <w:sz w:val="24"/>
                <w:szCs w:val="24"/>
                <w:rtl w:val="0"/>
              </w:rPr>
              <w:t xml:space="preserve"> argued that deep neural networks can legitimately sit in the context of discovery (hypothesis generation) even if they remain opaque, but that using them in the context of justification (supporting claims) raises new demands for transparency and justification of AI outputs.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introduced a nuanced problem: when and where in the scientific process must AI systems be explainable or transparent, and to whom? That distinction now informs Explainability and Transparency of AI4Research, which differentiates requirements for AI used to brainstorm ideas versus AI used as evidence in published claims, experimental design, or statistical justification.</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