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135"/>
        <w:tblGridChange w:id="0">
          <w:tblGrid>
            <w:gridCol w:w="2910"/>
            <w:gridCol w:w="61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LLM‑Centered Autonomous Lab Agents for End-to-End Experiment Control</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on systems like </w:t>
            </w:r>
            <w:r w:rsidDel="00000000" w:rsidR="00000000" w:rsidRPr="00000000">
              <w:rPr>
                <w:rFonts w:ascii="Times New Roman" w:cs="Times New Roman" w:eastAsia="Times New Roman" w:hAnsi="Times New Roman"/>
                <w:i w:val="1"/>
                <w:iCs w:val="1"/>
                <w:sz w:val="24"/>
                <w:szCs w:val="24"/>
                <w:rtl w:val="0"/>
              </w:rPr>
              <w:t xml:space="preserve">Coscientist</w:t>
            </w:r>
            <w:r w:rsidDel="00000000" w:rsidR="00000000" w:rsidRPr="00000000">
              <w:rPr>
                <w:rFonts w:ascii="Times New Roman" w:cs="Times New Roman" w:eastAsia="Times New Roman" w:hAnsi="Times New Roman"/>
                <w:sz w:val="24"/>
                <w:szCs w:val="24"/>
                <w:rtl w:val="0"/>
              </w:rPr>
              <w:t xml:space="preserve"> treated a GPT‑4–based agent as the “brain” of a lab, using tools for web search, documentation retrieval, code execution and hardware APIs to autonomously design, plan and perform complex chemistry experiments in cloud and robotic laboratories.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the lab as an open-ended, language-addressable control environment and exposed new problems: how to represent experimental goals, constraints and hardware affordances so a general-purpose model can safely and efficiently steer experiments in near real time—exactly the kind of dynamic, closed-loop control question that today’s real-time optimized experimentation systems try to solve.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075"/>
        <w:tblGridChange w:id="0">
          <w:tblGrid>
            <w:gridCol w:w="2970"/>
            <w:gridCol w:w="60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General-Purpose Orchestration Layers for AI–Robot Closed-Loop Laboratories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NIMS‑OS orchestration framework proposed a general-purpose middleware that treats AI algorithms and robotic experiment systems as swappable modules linked via a standard “candidate conditions” search space and a three-step control loop, enabling fully closed-loop autonomous materials exploration independent of any single robot or optimizer.</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surfaced a previously under-articulated problem: dynamic, real-time experimentation will need an operating-system-like layer that can schedule, re-route and monitor experiments across heterogeneous hardware and AI controllers, rather than bespoke scripts per lab—defining the infrastructure problem that modern dynamic experiment-optimization platforms now build around.</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150"/>
        <w:tblGridChange w:id="0">
          <w:tblGrid>
            <w:gridCol w:w="2895"/>
            <w:gridCol w:w="61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Co-Evolution of Physical Theory and Experiments in Closed Loops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AMASE workflow for “real-time experiment–theory closed-loop interaction” showed how an autonomous system could continuously update a CALPHAD thermodynamic model from streaming XRD data and then use the model’s uncertainty to choose the next temperatures and compositions when mapping a thin-film phase diagram, cutting required measurements by an order of magnitude.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elevated a new problem-space question: not just which experiment to run next, but how to co-evolve physical theory and experiment on matched time scales, designing control policies that explicitly trade off experiment cost against reductions in model uncertainty—core to current visions of real-time, theory-aware optimized experimentation.</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135"/>
        <w:tblGridChange w:id="0">
          <w:tblGrid>
            <w:gridCol w:w="2910"/>
            <w:gridCol w:w="61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Sampling and Online Stopping as First-Class Experimental Design Targets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Autonomous photochemistry platforms in 2024 treated sampling times and stopping rules as decision variables, using online plateau detection, kinetic-profile analysis and alternating acquisition functions to dynamically adjust when to sample, when to terminate reactions and how to pivot between exploration, exploitation and random sampling during high-throughput process optimization.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crystallized the idea that in experiments with rich kinetics and decomposition, the </w:t>
            </w:r>
            <w:r w:rsidDel="00000000" w:rsidR="00000000" w:rsidRPr="00000000">
              <w:rPr>
                <w:rFonts w:ascii="Times New Roman" w:cs="Times New Roman" w:eastAsia="Times New Roman" w:hAnsi="Times New Roman"/>
                <w:i w:val="1"/>
                <w:iCs w:val="1"/>
                <w:sz w:val="24"/>
                <w:szCs w:val="24"/>
                <w:rtl w:val="0"/>
              </w:rPr>
              <w:t xml:space="preserve">temporal</w:t>
            </w:r>
            <w:r w:rsidDel="00000000" w:rsidR="00000000" w:rsidRPr="00000000">
              <w:rPr>
                <w:rFonts w:ascii="Times New Roman" w:cs="Times New Roman" w:eastAsia="Times New Roman" w:hAnsi="Times New Roman"/>
                <w:sz w:val="24"/>
                <w:szCs w:val="24"/>
                <w:rtl w:val="0"/>
              </w:rPr>
              <w:t xml:space="preserve"> control of measurements is itself a new optimization problem—forcing researchers to ask how an AI should decide, in real time, when enough information has been gathered and how to reconfigure running experiments to maximize scientific yield per unit of instrument time.</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075"/>
        <w:tblGridChange w:id="0">
          <w:tblGrid>
            <w:gridCol w:w="2970"/>
            <w:gridCol w:w="60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“Frugal Twin” Self-Driving Labs for Multi-Fidelity, Low-Risk Experimentation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2024 “frugal twin” concept proposed low-cost self-driving lab surrogates—such as toy color-mixing platforms—as physical stand-ins for expensive or hazardous SDLs, arguing that these twins can serve as testbeds for autonomy software, multi-fidelity optimization strategies and education before deploying the same control logic to full-scale discovery labs.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dynamic experimentation as a multi-fidelity control problem: how to coordinate real-time policies across cheap and expensive experimental tiers, deciding what to learn where and when under cost, safety and hardware constraints—anticipating today’s focus on resource-aware, risk-aware real-time optimization of experimental campaigns.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075"/>
        <w:tblGridChange w:id="0">
          <w:tblGrid>
            <w:gridCol w:w="2970"/>
            <w:gridCol w:w="60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Machine-Interpretable Protocol Pseudocode for Automated Experiment Planning and Checking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BioPlanner introduced a framework and dataset where complex wet-lab biology protocols are represented as pseudocode, and LLMs are evaluated on reconstructing detailed, executable protocol steps from high-level descriptions, with some generated protocols successfully run in real biological labs.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articulated a new prerequisite problem for real-time lab control: before an AI can adapt experiments on the fly, experimental intent must live in a machine-checkable, executable representation where correctness and safety can be automatically assessed—laying the groundwork for controllers that dynamically modify, verify and rerun protocols during live experimentation.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