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Position‑dependent failure modes in long contexts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LLMs use long contexts showed that when you keep the input fixed but move the relevant span around, performance peaks when evidence is at the beginning or end and drops sharply when it sits in the middle, even for explicitly long‑context models.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long context from “supports 32k+ tokens” to a new problem: most of that window is functionally unreliable, with models systematically under‑using mid‑context information. That positional brittleness exposed an early crack in the idea that a large “supported” context window directly implies robust long‑context comprehension.</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“real” context size via effective context length rather than advertised window</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RULER benchmark defined a battery of synthetic long‑context tasks (retrieval, variable tracking, aggregation, QA) and introduced the notion of </w:t>
            </w:r>
            <w:r w:rsidDel="00000000" w:rsidR="00000000" w:rsidRPr="00000000">
              <w:rPr>
                <w:rFonts w:ascii="Times New Roman" w:cs="Times New Roman" w:eastAsia="Times New Roman" w:hAnsi="Times New Roman"/>
                <w:i w:val="1"/>
                <w:iCs w:val="1"/>
                <w:sz w:val="24"/>
                <w:szCs w:val="24"/>
                <w:rtl w:val="0"/>
              </w:rPr>
              <w:t xml:space="preserve">real context size</w:t>
            </w:r>
            <w:r w:rsidDel="00000000" w:rsidR="00000000" w:rsidRPr="00000000">
              <w:rPr>
                <w:rFonts w:ascii="Times New Roman" w:cs="Times New Roman" w:eastAsia="Times New Roman" w:hAnsi="Times New Roman"/>
                <w:sz w:val="24"/>
                <w:szCs w:val="24"/>
                <w:rtl w:val="0"/>
              </w:rPr>
              <w:t xml:space="preserve"> / effective context length, empirically showing that many LLMs degrade well before their claimed or training context lengths.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Gungsuh" w:cs="Gungsuh" w:eastAsia="Gungsuh" w:hAnsi="Gungsuh"/>
                <w:sz w:val="24"/>
                <w:szCs w:val="24"/>
                <w:rtl w:val="0"/>
              </w:rPr>
              <w:t xml:space="preserve">By operationalizing “how far can you go before performance collapses?” it exposed a new problem: supported window ≠ usable window, and we must quantify the gap. This became a core pillar of the later critique that marketing context lengths overpromise what models can actually leverage.</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Length‑adaptable evaluation that isolates behavior at specific context scales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Ada‑LEval argued that existing long‑context benchmarks entangle samples of 2k–32k tokens and rarely touch ultra‑long settings, then introduced length‑controllable tasks (TSort, BestAnswer) that can be stretched up to 128k tokens and revealed sharp drops as length increases into the ranges that modern LLMs claim to support.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making context length itself a controllable experimental variable, Ada‑LEval exposed that many models behave reasonably at short ranges but collapse in the very regimes their support windows advertise. That turned “long context” into a question about </w:t>
            </w:r>
            <w:r w:rsidDel="00000000" w:rsidR="00000000" w:rsidRPr="00000000">
              <w:rPr>
                <w:rFonts w:ascii="Times New Roman" w:cs="Times New Roman" w:eastAsia="Times New Roman" w:hAnsi="Times New Roman"/>
                <w:i w:val="1"/>
                <w:iCs w:val="1"/>
                <w:sz w:val="24"/>
                <w:szCs w:val="24"/>
                <w:rtl w:val="0"/>
              </w:rPr>
              <w:t xml:space="preserve">per‑length reliability</w:t>
            </w:r>
            <w:r w:rsidDel="00000000" w:rsidR="00000000" w:rsidRPr="00000000">
              <w:rPr>
                <w:rFonts w:ascii="Times New Roman" w:cs="Times New Roman" w:eastAsia="Times New Roman" w:hAnsi="Times New Roman"/>
                <w:sz w:val="24"/>
                <w:szCs w:val="24"/>
                <w:rtl w:val="0"/>
              </w:rPr>
              <w:t xml:space="preserve">, not just maximum token counts, feeding directly into the later skepticism about support context length claims.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taxonomies that decouple “long context” from mere retrieval difficulty</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position paper </w:t>
            </w:r>
            <w:r w:rsidDel="00000000" w:rsidR="00000000" w:rsidRPr="00000000">
              <w:rPr>
                <w:rFonts w:ascii="Times New Roman" w:cs="Times New Roman" w:eastAsia="Times New Roman" w:hAnsi="Times New Roman"/>
                <w:i w:val="1"/>
                <w:iCs w:val="1"/>
                <w:sz w:val="24"/>
                <w:szCs w:val="24"/>
                <w:rtl w:val="0"/>
              </w:rPr>
              <w:t xml:space="preserve">Is It Really Long Context if All You Need Is Retrieval?</w:t>
            </w:r>
            <w:r w:rsidDel="00000000" w:rsidR="00000000" w:rsidRPr="00000000">
              <w:rPr>
                <w:rFonts w:ascii="Times New Roman" w:cs="Times New Roman" w:eastAsia="Times New Roman" w:hAnsi="Times New Roman"/>
                <w:sz w:val="24"/>
                <w:szCs w:val="24"/>
                <w:rtl w:val="0"/>
              </w:rPr>
              <w:t xml:space="preserve"> argued that grouping tasks solely by input length is uninformative, and proposed a taxonomy with two orthogonal axes—dispersion (how hard it is to find the needed information) and scope (how much information must be used)—showing that many so‑called long‑context benchmarks only stress simple retrieval over long padding.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made explicit a new problem: a model can “pass” long‑context tests that barely use the extra tokens at all, so reported success at high support lengths may reflect easy retrieval tasks, not genuine long‑range reasoning. That dismantling of “length = difficulty” directly underpins the critique that support context length is a false proxy for real capability.</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studies of context utilization in RAG and industry models showing early saturation</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Databricks’ </w:t>
            </w:r>
            <w:r w:rsidDel="00000000" w:rsidR="00000000" w:rsidRPr="00000000">
              <w:rPr>
                <w:rFonts w:ascii="Times New Roman" w:cs="Times New Roman" w:eastAsia="Times New Roman" w:hAnsi="Times New Roman"/>
                <w:i w:val="1"/>
                <w:iCs w:val="1"/>
                <w:sz w:val="24"/>
                <w:szCs w:val="24"/>
                <w:rtl w:val="0"/>
              </w:rPr>
              <w:t xml:space="preserve">Long Context RAG Performance of LLMs</w:t>
            </w:r>
            <w:r w:rsidDel="00000000" w:rsidR="00000000" w:rsidRPr="00000000">
              <w:rPr>
                <w:rFonts w:ascii="Times New Roman" w:cs="Times New Roman" w:eastAsia="Times New Roman" w:hAnsi="Times New Roman"/>
                <w:sz w:val="24"/>
                <w:szCs w:val="24"/>
                <w:rtl w:val="0"/>
              </w:rPr>
              <w:t xml:space="preserve"> and follow‑up work on “context window utilization” showed that for multi‑document QA, many long‑context LLMs hit a saturation point where adding more retrieved tokens (well below the technical max window) stops helping or even hurts, and that effective context length can be far shorter than the advertised window. Industry analyses like AI21’s </w:t>
            </w:r>
            <w:r w:rsidDel="00000000" w:rsidR="00000000" w:rsidRPr="00000000">
              <w:rPr>
                <w:rFonts w:ascii="Times New Roman" w:cs="Times New Roman" w:eastAsia="Times New Roman" w:hAnsi="Times New Roman"/>
                <w:i w:val="1"/>
                <w:iCs w:val="1"/>
                <w:sz w:val="24"/>
                <w:szCs w:val="24"/>
                <w:rtl w:val="0"/>
              </w:rPr>
              <w:t xml:space="preserve">Long Context, But Actually</w:t>
            </w:r>
            <w:r w:rsidDel="00000000" w:rsidR="00000000" w:rsidRPr="00000000">
              <w:rPr>
                <w:rFonts w:ascii="Times New Roman" w:cs="Times New Roman" w:eastAsia="Times New Roman" w:hAnsi="Times New Roman"/>
                <w:sz w:val="24"/>
                <w:szCs w:val="24"/>
                <w:rtl w:val="0"/>
              </w:rPr>
              <w:t xml:space="preserve"> similarly emphasized the gap between claimed and effective context windows in real workflows.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crystallized a practical problem: for real retrieval‑augmented systems, extra support length often buys little but cost, because models under‑use middle and later chunks. That practice‑driven evidence that enterprises pay for context they can’t effectively exploit is exactly the kind of discrepancy that the mainframe topic “The False Promise of Support Context Length” is now built around.</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