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Cheap, domain‑bounded imitation of proprietary chatbots via API query budgets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Gudibande’s “imitation LMs” framework explicitly studied how far one can </w:t>
            </w:r>
            <w:r w:rsidDel="00000000" w:rsidR="00000000" w:rsidRPr="00000000">
              <w:rPr>
                <w:rFonts w:ascii="Times New Roman" w:cs="Times New Roman" w:eastAsia="Times New Roman" w:hAnsi="Times New Roman"/>
                <w:i w:val="1"/>
                <w:iCs w:val="1"/>
                <w:sz w:val="24"/>
                <w:szCs w:val="24"/>
                <w:rtl w:val="0"/>
              </w:rPr>
              <w:t xml:space="preserve">recreate</w:t>
            </w:r>
            <w:r w:rsidDel="00000000" w:rsidR="00000000" w:rsidRPr="00000000">
              <w:rPr>
                <w:rFonts w:ascii="Times New Roman" w:cs="Times New Roman" w:eastAsia="Times New Roman" w:hAnsi="Times New Roman"/>
                <w:sz w:val="24"/>
                <w:szCs w:val="24"/>
                <w:rtl w:val="0"/>
              </w:rPr>
              <w:t xml:space="preserve"> InstructGPT/ChatGPT in a narrow domain using only API access: first prompting the proprietary model to enumerate tasks it can solve, then asking it to synthesize input–output pairs, and finally fine‑tuning open models on that synthetic dataset, with imitation quality scaling roughly log‑linearly with dollars spent on queries.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framed a new problem: given only black‑box API access and a limited monetary budget, how close can an open student get to a proprietary teacher in a specific domain? Instead of just “distillation for compression,” it made </w:t>
            </w:r>
            <w:r w:rsidDel="00000000" w:rsidR="00000000" w:rsidRPr="00000000">
              <w:rPr>
                <w:rFonts w:ascii="Times New Roman" w:cs="Times New Roman" w:eastAsia="Times New Roman" w:hAnsi="Times New Roman"/>
                <w:i w:val="1"/>
                <w:iCs w:val="1"/>
                <w:sz w:val="24"/>
                <w:szCs w:val="24"/>
                <w:rtl w:val="0"/>
              </w:rPr>
              <w:t xml:space="preserve">systematic imitation of a closed commercial model</w:t>
            </w:r>
            <w:r w:rsidDel="00000000" w:rsidR="00000000" w:rsidRPr="00000000">
              <w:rPr>
                <w:rFonts w:ascii="Times New Roman" w:cs="Times New Roman" w:eastAsia="Times New Roman" w:hAnsi="Times New Roman"/>
                <w:sz w:val="24"/>
                <w:szCs w:val="24"/>
                <w:rtl w:val="0"/>
              </w:rPr>
              <w:t xml:space="preserve">—under budget and domain constraints—the central object of study, which later grew into the broader Proprietary LLMs Imitation topic.</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Student‑aware, budgeted distillation from closed‑source teachers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Personalised Distillation for code generation (EMNLP 2023) argued that naïve “one‑shot” distillation from ChatGPT/GPT‑4 wastes expensive API calls, and instead proposed an </w:t>
            </w:r>
            <w:r w:rsidDel="00000000" w:rsidR="00000000" w:rsidRPr="00000000">
              <w:rPr>
                <w:rFonts w:ascii="Times New Roman" w:cs="Times New Roman" w:eastAsia="Times New Roman" w:hAnsi="Times New Roman"/>
                <w:i w:val="1"/>
                <w:iCs w:val="1"/>
                <w:sz w:val="24"/>
                <w:szCs w:val="24"/>
                <w:rtl w:val="0"/>
              </w:rPr>
              <w:t xml:space="preserve">interactive</w:t>
            </w:r>
            <w:r w:rsidDel="00000000" w:rsidR="00000000" w:rsidRPr="00000000">
              <w:rPr>
                <w:rFonts w:ascii="Gungsuh" w:cs="Gungsuh" w:eastAsia="Gungsuh" w:hAnsi="Gungsuh"/>
                <w:sz w:val="24"/>
                <w:szCs w:val="24"/>
                <w:rtl w:val="0"/>
              </w:rPr>
              <w:t xml:space="preserve"> scheme where the open‑source student tries to solve each task first and the proprietary teacher only supplies refinements on the student’s mistakes—achieving large gains on HumanEval with just 2.5–3k examples (≈$4–6 of teacher queries).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surfaced a new problem: how should we optimally allocate scarce queries to a proprietary LLM when our goal is to imitate it? By treating imitation as a teacher–student </w:t>
            </w:r>
            <w:r w:rsidDel="00000000" w:rsidR="00000000" w:rsidRPr="00000000">
              <w:rPr>
                <w:rFonts w:ascii="Times New Roman" w:cs="Times New Roman" w:eastAsia="Times New Roman" w:hAnsi="Times New Roman"/>
                <w:i w:val="1"/>
                <w:iCs w:val="1"/>
                <w:sz w:val="24"/>
                <w:szCs w:val="24"/>
                <w:rtl w:val="0"/>
              </w:rPr>
              <w:t xml:space="preserve">teaching policy</w:t>
            </w:r>
            <w:r w:rsidDel="00000000" w:rsidR="00000000" w:rsidRPr="00000000">
              <w:rPr>
                <w:rFonts w:ascii="Times New Roman" w:cs="Times New Roman" w:eastAsia="Times New Roman" w:hAnsi="Times New Roman"/>
                <w:sz w:val="24"/>
                <w:szCs w:val="24"/>
                <w:rtl w:val="0"/>
              </w:rPr>
              <w:t xml:space="preserve"> design problem (not just “collect a big synthetic dataset”), it prefigured today’s work on query‑efficient, curriculum‑aware imitation of proprietary APIs.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Imitating proprietary models’ </w:t>
            </w:r>
            <w:r w:rsidDel="00000000" w:rsidR="00000000" w:rsidRPr="00000000">
              <w:rPr>
                <w:rFonts w:ascii="Times New Roman" w:cs="Times New Roman" w:eastAsia="Times New Roman" w:hAnsi="Times New Roman"/>
                <w:i w:val="1"/>
                <w:iCs w:val="1"/>
                <w:sz w:val="24"/>
                <w:szCs w:val="24"/>
                <w:rtl w:val="0"/>
              </w:rPr>
              <w:t xml:space="preserve">reasoning processes</w:t>
            </w:r>
            <w:r w:rsidDel="00000000" w:rsidR="00000000" w:rsidRPr="00000000">
              <w:rPr>
                <w:rFonts w:ascii="Times New Roman" w:cs="Times New Roman" w:eastAsia="Times New Roman" w:hAnsi="Times New Roman"/>
                <w:sz w:val="24"/>
                <w:szCs w:val="24"/>
                <w:rtl w:val="0"/>
              </w:rPr>
              <w:t xml:space="preserve"> via explanation traces, not just their final answers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Microsoft’s Orca line of work in 2023 highlighted that previous “small ChatGPT‑like” models mostly learned style, not reasoning, and instead trained a 13B model on GPT‑4’s </w:t>
            </w:r>
            <w:r w:rsidDel="00000000" w:rsidR="00000000" w:rsidRPr="00000000">
              <w:rPr>
                <w:rFonts w:ascii="Times New Roman" w:cs="Times New Roman" w:eastAsia="Times New Roman" w:hAnsi="Times New Roman"/>
                <w:i w:val="1"/>
                <w:iCs w:val="1"/>
                <w:sz w:val="24"/>
                <w:szCs w:val="24"/>
                <w:rtl w:val="0"/>
              </w:rPr>
              <w:t xml:space="preserve">step‑by‑step explanation traces</w:t>
            </w:r>
            <w:r w:rsidDel="00000000" w:rsidR="00000000" w:rsidRPr="00000000">
              <w:rPr>
                <w:rFonts w:ascii="Times New Roman" w:cs="Times New Roman" w:eastAsia="Times New Roman" w:hAnsi="Times New Roman"/>
                <w:sz w:val="24"/>
                <w:szCs w:val="24"/>
                <w:rtl w:val="0"/>
              </w:rPr>
              <w:t xml:space="preserve"> and complex instructions, explicitly aiming to mimic the reasoning behavior of a larger, closed LFMs rather than just its surface outputs.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imitation as matching the teacher’s latent reasoning behavior, not just its answer distribution, raising new questions about what aspects of a proprietary model (style, reasoning, safety behavior) can or should be imitated via its API. That reasoning‑centric view is now foundational in discussions of how far imitation of proprietary LLMs can go—and what it actually means to “copy” them.</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black‑box teachers as a distinct regime needing proxy models for imitation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Proxy‑based Knowledge Distillation (Proxy‑KD) in 2024 explicitly tackled GPT‑4‑style </w:t>
            </w:r>
            <w:r w:rsidDel="00000000" w:rsidR="00000000" w:rsidRPr="00000000">
              <w:rPr>
                <w:rFonts w:ascii="Times New Roman" w:cs="Times New Roman" w:eastAsia="Times New Roman" w:hAnsi="Times New Roman"/>
                <w:i w:val="1"/>
                <w:iCs w:val="1"/>
                <w:sz w:val="24"/>
                <w:szCs w:val="24"/>
                <w:rtl w:val="0"/>
              </w:rPr>
              <w:t xml:space="preserve">black‑box</w:t>
            </w:r>
            <w:r w:rsidDel="00000000" w:rsidR="00000000" w:rsidRPr="00000000">
              <w:rPr>
                <w:rFonts w:ascii="Times New Roman" w:cs="Times New Roman" w:eastAsia="Times New Roman" w:hAnsi="Times New Roman"/>
                <w:sz w:val="24"/>
                <w:szCs w:val="24"/>
                <w:rtl w:val="0"/>
              </w:rPr>
              <w:t xml:space="preserve"> teachers: it inserted a large, white‑box proxy LLM that is first aligned to the closed teacher using GPT‑4 outputs and preference data, then used that proxy to supervise a smaller student—arguing that simple “sample outputs and distill” schemes underuse what a black‑box teacher can provide.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crystallized a new problem distinct from classic distillation: how to imitate a proprietary teacher when we can only see its text, never its logits or parameters. By formalizing the “black‑box teacher, white‑box proxy, open student” pipeline, it helped define the modern problem space of proprietary LLM imitation under realistic API constraints.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80"/>
        <w:tblGridChange w:id="0">
          <w:tblGrid>
            <w:gridCol w:w="1665"/>
            <w:gridCol w:w="73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Model‑level watermarking and infringement detection for API‑trained imitation models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Watermark‑based work like LIDet in 2024 explicitly targeted </w:t>
            </w:r>
            <w:r w:rsidDel="00000000" w:rsidR="00000000" w:rsidRPr="00000000">
              <w:rPr>
                <w:rFonts w:ascii="Times New Roman" w:cs="Times New Roman" w:eastAsia="Times New Roman" w:hAnsi="Times New Roman"/>
                <w:i w:val="1"/>
                <w:iCs w:val="1"/>
                <w:sz w:val="24"/>
                <w:szCs w:val="24"/>
                <w:rtl w:val="0"/>
              </w:rPr>
              <w:t xml:space="preserve">model infringement</w:t>
            </w:r>
            <w:r w:rsidDel="00000000" w:rsidR="00000000" w:rsidRPr="00000000">
              <w:rPr>
                <w:rFonts w:ascii="Times New Roman" w:cs="Times New Roman" w:eastAsia="Times New Roman" w:hAnsi="Times New Roman"/>
                <w:sz w:val="24"/>
                <w:szCs w:val="24"/>
                <w:rtl w:val="0"/>
              </w:rPr>
              <w:t xml:space="preserve">: training a new LLM via API queries to a victim model. It showed that using text watermarks for this purpose faces new challenges—domain mismatch between watermark training and detection, query strategies that attenuate signals, and the need to detect infringement from a </w:t>
            </w:r>
            <w:r w:rsidDel="00000000" w:rsidR="00000000" w:rsidRPr="00000000">
              <w:rPr>
                <w:rFonts w:ascii="Times New Roman" w:cs="Times New Roman" w:eastAsia="Times New Roman" w:hAnsi="Times New Roman"/>
                <w:i w:val="1"/>
                <w:iCs w:val="1"/>
                <w:sz w:val="24"/>
                <w:szCs w:val="24"/>
                <w:rtl w:val="0"/>
              </w:rPr>
              <w:t xml:space="preserve">suspect model’s</w:t>
            </w:r>
            <w:r w:rsidDel="00000000" w:rsidR="00000000" w:rsidRPr="00000000">
              <w:rPr>
                <w:rFonts w:ascii="Times New Roman" w:cs="Times New Roman" w:eastAsia="Times New Roman" w:hAnsi="Times New Roman"/>
                <w:sz w:val="24"/>
                <w:szCs w:val="24"/>
                <w:rtl w:val="0"/>
              </w:rPr>
              <w:t xml:space="preserve"> behavior rather than individual outputs.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imitation as a security and IP problem: we now needed to ask not only how to imitate proprietary LLMs, but also how to </w:t>
            </w:r>
            <w:r w:rsidDel="00000000" w:rsidR="00000000" w:rsidRPr="00000000">
              <w:rPr>
                <w:rFonts w:ascii="Times New Roman" w:cs="Times New Roman" w:eastAsia="Times New Roman" w:hAnsi="Times New Roman"/>
                <w:i w:val="1"/>
                <w:iCs w:val="1"/>
                <w:sz w:val="24"/>
                <w:szCs w:val="24"/>
                <w:rtl w:val="0"/>
              </w:rPr>
              <w:t xml:space="preserve">detect and deter</w:t>
            </w:r>
            <w:r w:rsidDel="00000000" w:rsidR="00000000" w:rsidRPr="00000000">
              <w:rPr>
                <w:rFonts w:ascii="Times New Roman" w:cs="Times New Roman" w:eastAsia="Times New Roman" w:hAnsi="Times New Roman"/>
                <w:sz w:val="24"/>
                <w:szCs w:val="24"/>
                <w:rtl w:val="0"/>
              </w:rPr>
              <w:t xml:space="preserve"> such imitation. That model‑level infringement‑detection problem—and the realization that standard text watermarking is not enough—has become central to current debates around Proprietary LLMs Imitation.</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imitation-trained “open” models as scientifically opaque because of hidden proprietary teachers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Gudibande’s 2023 report explicitly noted that imitation models trained on proprietary APIs make it “difficult to answer certain scientific questions” because the closed teacher (and its data) sit inside the training pipeline, while community projects like Orca and OpenOrca used large volumes of GPT‑4 traces to train ostensibly open models.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Proprietary LLMs Imitation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raised a new, under‑appreciated problem: when an “open” model is itself an imitation of a closed one, its provenance, biases, and legal status are entangled with the proprietary teacher. That recognition—open models can quietly be shadows of closed APIs—now underlies much of the mainframe topic around Proprietary LLMs Imitation, from transparency and evaluation to governance and IP.</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