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7575"/>
        <w:tblGridChange w:id="0">
          <w:tblGrid>
            <w:gridCol w:w="1470"/>
            <w:gridCol w:w="75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Instruction‑tuning as a low‑sample‑complexity attack surface</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Starting in 2023, security work on instruction‑tuned LLMs showed that because instruction tuning often uses relatively </w:t>
            </w:r>
            <w:r w:rsidDel="00000000" w:rsidR="00000000" w:rsidRPr="00000000">
              <w:rPr>
                <w:rFonts w:ascii="Times New Roman" w:cs="Times New Roman" w:eastAsia="Times New Roman" w:hAnsi="Times New Roman"/>
                <w:i w:val="1"/>
                <w:iCs w:val="1"/>
                <w:sz w:val="24"/>
                <w:szCs w:val="24"/>
                <w:rtl w:val="0"/>
              </w:rPr>
              <w:t xml:space="preserve">tiny</w:t>
            </w:r>
            <w:r w:rsidDel="00000000" w:rsidR="00000000" w:rsidRPr="00000000">
              <w:rPr>
                <w:rFonts w:ascii="Times New Roman" w:cs="Times New Roman" w:eastAsia="Times New Roman" w:hAnsi="Times New Roman"/>
                <w:sz w:val="24"/>
                <w:szCs w:val="24"/>
                <w:rtl w:val="0"/>
              </w:rPr>
              <w:t xml:space="preserve"> task datasets, inserting only dozens of poisoned instructions or backdoored task descriptions can reliably implant targeted behaviors (content injection, trigger‑activated responses) that persist after further fine‑tuning and evade simple defenses.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Training Recipes: Tricks or Traps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This reframed a previously unexamined problem: the standard “scale → instruction‑tune on crowdsourced/open data” </w:t>
            </w:r>
            <w:r w:rsidDel="00000000" w:rsidR="00000000" w:rsidRPr="00000000">
              <w:rPr>
                <w:rFonts w:ascii="Times New Roman" w:cs="Times New Roman" w:eastAsia="Times New Roman" w:hAnsi="Times New Roman"/>
                <w:i w:val="1"/>
                <w:iCs w:val="1"/>
                <w:sz w:val="24"/>
                <w:szCs w:val="24"/>
                <w:rtl w:val="0"/>
              </w:rPr>
              <w:t xml:space="preserve">recipe</w:t>
            </w:r>
            <w:r w:rsidDel="00000000" w:rsidR="00000000" w:rsidRPr="00000000">
              <w:rPr>
                <w:rFonts w:ascii="Times New Roman" w:cs="Times New Roman" w:eastAsia="Times New Roman" w:hAnsi="Times New Roman"/>
                <w:sz w:val="24"/>
                <w:szCs w:val="24"/>
                <w:rtl w:val="0"/>
              </w:rPr>
              <w:t xml:space="preserve"> is not just a harmless alignment trick but a built‑in vulnerability surface, where the very stage meant to make models helpful and aligned becomes an easy channel for adversarial control. In hindsight, this was an early warning that some of our most celebrated training recipes might actually be security traps, structurally risky even when the underlying model is strong.</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7455"/>
        <w:tblGridChange w:id="0">
          <w:tblGrid>
            <w:gridCol w:w="1590"/>
            <w:gridCol w:w="74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Shaped‑up, scaled‑up models quietly sacrificing reliability on easy tasks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2024 Nature study systematically compared multiple LLM families and found that the prevailing recipe—more parameters + more data + heavier “shaping” via fine‑tuning and feedback—produced more instructable yet </w:t>
            </w:r>
            <w:r w:rsidDel="00000000" w:rsidR="00000000" w:rsidRPr="00000000">
              <w:rPr>
                <w:rFonts w:ascii="Times New Roman" w:cs="Times New Roman" w:eastAsia="Times New Roman" w:hAnsi="Times New Roman"/>
                <w:i w:val="1"/>
                <w:iCs w:val="1"/>
                <w:sz w:val="24"/>
                <w:szCs w:val="24"/>
                <w:rtl w:val="0"/>
              </w:rPr>
              <w:t xml:space="preserve">less reliable</w:t>
            </w:r>
            <w:r w:rsidDel="00000000" w:rsidR="00000000" w:rsidRPr="00000000">
              <w:rPr>
                <w:rFonts w:ascii="Times New Roman" w:cs="Times New Roman" w:eastAsia="Times New Roman" w:hAnsi="Times New Roman"/>
                <w:sz w:val="24"/>
                <w:szCs w:val="24"/>
                <w:rtl w:val="0"/>
              </w:rPr>
              <w:t xml:space="preserve"> models, especially on instances that are trivial for humans. The work showed that scaled‑and‑aligned models no longer preserve a low‑difficulty region where the model is near‑error‑free or where human supervisors can reliably catch mistakes.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Training Recipes: Tricks or Traps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surfaced a new problem: the canonical “shaped‑up” training recipe can erode the very safety margin we thought scaling would secure, making models more capricious exactly where we expected them to be dependable. It shifted the conversation from “which tricks make models stronger?” to “when does our standard scaling+alignment recipe become a trap that trades away reliability for superficial instructability?”</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7455"/>
        <w:tblGridChange w:id="0">
          <w:tblGrid>
            <w:gridCol w:w="1590"/>
            <w:gridCol w:w="74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Proxy‑driven data mixture design as a fragile foundation for training recipes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on scalable data ablation and data mixing laws showed that small changes in pretraining / continued‑pretraining mixtures (domains, epochs, temporal slices) can cause large, domain‑specific shifts in downstream performance, but fully exploring mixture space at production scale is computationally impossible—prompting reliance on small models and modular proxies to pick data recipes. These studies explicitly highlighted that mixture selection is often ad‑hoc and that proxy‑based choices can be brittle.</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Training Recipes: Tricks or Traps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direction exposed a new structural problem: entire LLM training recipes are often pinned on noisy, scale‑mismatched proxy experiments, so what looks like a clean “data recipe trick” may just be overfitting to quirks of small runs. In hindsight, it was an early signal that our data‑mixing and ablation heuristics can be traps that lock in suboptimal or misleading recipes, because we lack principled guarantees that proxy‑optimized mixtures behave the same at frontier scale.</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7635"/>
        <w:tblGridChange w:id="0">
          <w:tblGrid>
            <w:gridCol w:w="1410"/>
            <w:gridCol w:w="76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Shortcut‑amplifying fine‑tuning dynamics in large language models</w:t>
            </w:r>
          </w:p>
        </w:tc>
      </w:tr>
      <w:tr>
        <w:trPr>
          <w:cantSplit w:val="0"/>
          <w:trHeight w:val="283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From late 2023 into 2024, surveys and empirical studies on shortcut learning in LLMs showed that standard objectives and fine‑tuning regimes cause models to lean hard on spurious cues (artifacts, lexical shortcuts, prompt patterns) rather than robust task structure, both in supervised fine‑tuning and in‑context settings. Parallel work on learning dynamics in reasoning fine-tuning separated “pre‑memorization” performance from rote copying of reasoning traces, finding that certain hyperparameter choices push models rapidly into brittle memorization regimes with weaker generalization.</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Training Recipes: Tricks or Traps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just saying “LLMs use shortcuts,” these works identified a new problem: common training recipes themselves systematically amplify shortcut reliance and premature memorization, especially when tuned to maximize benchmark scores. That recasts many beloved training “tricks” (aggressive ERM, naive instruction‑tuning, certain CoT finetuning schedules) as potential traps, creating models that look strong on curated evals while being structurally fragile and over‑dependent on spurious patterns.</w:t>
            </w:r>
          </w:p>
        </w:tc>
      </w:tr>
    </w:tbl>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