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40"/>
        <w:tblGridChange w:id="0">
          <w:tblGrid>
            <w:gridCol w:w="2205"/>
            <w:gridCol w:w="68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Full‑paper deep‑question QA for scientific articles</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QASA introduced </w:t>
            </w:r>
            <w:r w:rsidDel="00000000" w:rsidR="00000000" w:rsidRPr="00000000">
              <w:rPr>
                <w:rFonts w:ascii="Times New Roman" w:cs="Times New Roman" w:eastAsia="Times New Roman" w:hAnsi="Times New Roman"/>
                <w:i w:val="1"/>
                <w:iCs w:val="1"/>
                <w:sz w:val="24"/>
                <w:szCs w:val="24"/>
                <w:rtl w:val="0"/>
              </w:rPr>
              <w:t xml:space="preserve">advanced</w:t>
            </w:r>
            <w:r w:rsidDel="00000000" w:rsidR="00000000" w:rsidRPr="00000000">
              <w:rPr>
                <w:rFonts w:ascii="Times New Roman" w:cs="Times New Roman" w:eastAsia="Times New Roman" w:hAnsi="Times New Roman"/>
                <w:sz w:val="24"/>
                <w:szCs w:val="24"/>
                <w:rtl w:val="0"/>
              </w:rPr>
              <w:t xml:space="preserve"> question answering over entire research papers, with authors and expert readers writing “surface”, “testing”, and genuinely “deep” questions while reading full AI/ML articles, not just abstracts or snippets. This sat alongside analyses showing that popular open‑domain QA benchmarks almost never require document‑level reasoning (82 out of 17,000 questions needed whole‑document understanding), calling out a hidden gap between real scientific reading and existing QA tasks.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surfaced a new problem: “scientific comprehension” is not the same as passage‑level QA—it requires full‑paper, why/how questions that today’s models and benchmarks barely touch. Once you see that, it becomes natural to frame future systems as semi‑automatic readers that help humans navigate deep questions over whole papers, rather than as fully automatic QA systems that magically “understand” science.</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795"/>
        <w:tblGridChange w:id="0">
          <w:tblGrid>
            <w:gridCol w:w="2250"/>
            <w:gridCol w:w="67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High‑stakes evaluation of LLM summaries against underlying scientific evidence</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Medical informatics work systematically evaluated GPT‑3.5 and ChatGPT on </w:t>
            </w:r>
            <w:r w:rsidDel="00000000" w:rsidR="00000000" w:rsidRPr="00000000">
              <w:rPr>
                <w:rFonts w:ascii="Times New Roman" w:cs="Times New Roman" w:eastAsia="Times New Roman" w:hAnsi="Times New Roman"/>
                <w:i w:val="1"/>
                <w:iCs w:val="1"/>
                <w:sz w:val="24"/>
                <w:szCs w:val="24"/>
                <w:rtl w:val="0"/>
              </w:rPr>
              <w:t xml:space="preserve">zero‑shot medical evidence summarization</w:t>
            </w:r>
            <w:r w:rsidDel="00000000" w:rsidR="00000000" w:rsidRPr="00000000">
              <w:rPr>
                <w:rFonts w:ascii="Times New Roman" w:cs="Times New Roman" w:eastAsia="Times New Roman" w:hAnsi="Times New Roman"/>
                <w:sz w:val="24"/>
                <w:szCs w:val="24"/>
                <w:rtl w:val="0"/>
              </w:rPr>
              <w:t xml:space="preserve"> across six clinical domains, finding that while models produced fluent summaries, they frequently introduced factually inconsistent statements, missed key trial details, and degraded more on longer, more complex inputs. By [2024], surveys and follow‑up analyses were explicitly treating hallucination, omission, and harmfulness as primary axes for evaluating clinical and scientific summarization.</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body of work exposed a previously under‑articulated problem: LLM summaries of scientific evidence can be dangerously convincing yet subtly wrong, especially in long, high‑stakes documents. That pushed the field away from “press a button for automatic evidence synthesis” toward semi‑automatic comprehension workflows where models draft or highlight and humans retain responsibility for checking fidelity to the underlying studies.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810"/>
        <w:tblGridChange w:id="0">
          <w:tblGrid>
            <w:gridCol w:w="2235"/>
            <w:gridCol w:w="68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LLM-assisted literature screening and review as triage workflows, not full automation</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exploratory study in </w:t>
            </w:r>
            <w:r w:rsidDel="00000000" w:rsidR="00000000" w:rsidRPr="00000000">
              <w:rPr>
                <w:rFonts w:ascii="Times New Roman" w:cs="Times New Roman" w:eastAsia="Times New Roman" w:hAnsi="Times New Roman"/>
                <w:i w:val="1"/>
                <w:iCs w:val="1"/>
                <w:sz w:val="24"/>
                <w:szCs w:val="24"/>
                <w:rtl w:val="0"/>
              </w:rPr>
              <w:t xml:space="preserve">Systematic Reviews</w:t>
            </w:r>
            <w:r w:rsidDel="00000000" w:rsidR="00000000" w:rsidRPr="00000000">
              <w:rPr>
                <w:rFonts w:ascii="Times New Roman" w:cs="Times New Roman" w:eastAsia="Times New Roman" w:hAnsi="Times New Roman"/>
                <w:sz w:val="24"/>
                <w:szCs w:val="24"/>
                <w:rtl w:val="0"/>
              </w:rPr>
              <w:t xml:space="preserve"> used LLMs to score the relevance of papers for systematic review screening based on titles and abstracts, showing promising recall but emphasizing that little is known about how such systems would perform prospectively in real reviews. Around the same time, other work directly compared ChatGPT‑4‑written literature reviews with human‑written ones, highlighting gaps in coverage, referencing, and nuance even when surface quality looked high, and parallel RAG‑style prototypes for automated literature reviews started to grapple with hallucinated citations and incomplete coverage.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studies crystallized a new problem: we don’t actually know which parts of the literature-review pipeline can be safely delegated to LLMs without losing scientific rigor. That reframed LLMs as triage and co‑pilot tools—screening, ranking, or drafting under human supervision—rather than drop‑in replacements for human comprehension, directly foreshadowing the “semi‑automatic” rather than “fully automatic” framing.</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figure–centric and multimodal comprehension benchmarks</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SciFIBench was introduced as a benchmark where models must answer 2,000 questions about scientific figures from arXiv papers across eight categories, with tasks like matching figures to captions and interpreting plotted relationships; 28 large multimodal models were evaluated and even the strongest lagged mean human performance by a wide margin. Complementary work like SceMQA built multimodal science exams (text + diagrams) at the college‑entrance level, again showing that models struggle with diagrams‑heavy, stepwise scientific reasoning.</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benchmarks surfaced a crucial but previously under‑served problem: real scientific understanding depends heavily on figures, diagrams, and multimodal cues, where current models are far weaker than in pure text. That made it clear that near‑term systems would need to support semi‑automatic comprehension—highlighting patterns in figures, suggesting interpretations, or answering structured questions—while humans still do the core integrative reasoning across text, tables, and visuals.</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