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495"/>
        <w:tblGridChange w:id="0">
          <w:tblGrid>
            <w:gridCol w:w="2550"/>
            <w:gridCol w:w="64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LLM‑generated scientific abstracts that sound real but invent experiments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Medical researchers asked ChatGPT to write abstracts for real biomedical papers using only titles and journal names and found it produced fluent, journal‑style text with plausible sample sizes and study details, yet the underlying data and methods were entirely fabricated and often fooled human reviewers.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Full-Automatic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exposed a new problem: a system can appear to “understand” a study while actually synthesizing a convincing but imaginary experiment, so fully automatic comprehension and rewriting of scientific articles can break the link to real evidence. It foreshadowed today’s concern that any push toward full‑automatic scientific comprehension must explicitly model provenance and verification, not just surface coherence.</w:t>
            </w:r>
          </w:p>
        </w:tc>
      </w:tr>
    </w:tbl>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420"/>
        <w:tblGridChange w:id="0">
          <w:tblGrid>
            <w:gridCol w:w="2625"/>
            <w:gridCol w:w="64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hallucinations and bibliographic unreliability in AI‑generated citations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Between 2023–2024, several studies measured citation accuracy of ChatGPT‑like systems for systematic reviews and academic writing, finding that many generated references were incomplete, incorrect, or entirely fabricated, and introducing metrics such as a “reference hallucination score” to quantify authenticity.</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Full-Automatic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audits surfaced a previously under‑specified obstacle to full automation: bibliographic reasoning itself is unreliable when left to the model, with fabricated citations undermining the entire chain of scientific argument. They highlighted that any claim of full‑automatic comprehension must grapple with structured citation and source‑linking as a core problem, not an afterthought.</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6540"/>
        <w:tblGridChange w:id="0">
          <w:tblGrid>
            <w:gridCol w:w="2505"/>
            <w:gridCol w:w="65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Coverage–quality trade‑offs in LLM‑driven literature review pipelines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Evaluations of LLM‑based systematic literature review systems compared automated pipelines on retrieval, screening, summarization, and end‑to‑end review writing, showing large variation in recall, recency, coverage, and factual consistency, and that no single pipeline matched human experts on both breadth and nuanced synthesis.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Full-Automatic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revealed that “comprehending the literature” is not a single task an LLM can fully automate, but a bundle of sub‑problems with conflicting trade‑offs that current systems cannot jointly optimize. It therefore exposed full‑automatic scientific comprehension as a distinct, unsolved problem: designing end‑to‑end pipelines that are simultaneously complete, up‑to‑date, and faithful, rather than just good at one slice of the workflow.</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555"/>
        <w:tblGridChange w:id="0">
          <w:tblGrid>
            <w:gridCol w:w="2490"/>
            <w:gridCol w:w="65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Reframing scientific understanding as tool‑augmented reasoning rather than pure text prediction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on tools‑augmented scientific reasoning built benchmarks where LLMs must plan, call external tools, and solve quantitative problems across math, physics, chemistry, finance, and EECS, and showed that even strong LLMs fail many scientific tasks unless embedded </w:t>
            </w:r>
            <w:r w:rsidDel="00000000" w:rsidR="00000000" w:rsidRPr="00000000">
              <w:rPr>
                <w:rFonts w:ascii="Times New Roman" w:cs="Times New Roman" w:eastAsia="Times New Roman" w:hAnsi="Times New Roman"/>
                <w:sz w:val="24"/>
                <w:szCs w:val="24"/>
                <w:rtl w:val="0"/>
              </w:rPr>
              <w:t xml:space="preserve">in structured</w:t>
            </w:r>
            <w:r w:rsidDel="00000000" w:rsidR="00000000" w:rsidRPr="00000000">
              <w:rPr>
                <w:rFonts w:ascii="Times New Roman" w:cs="Times New Roman" w:eastAsia="Times New Roman" w:hAnsi="Times New Roman"/>
                <w:sz w:val="24"/>
                <w:szCs w:val="24"/>
                <w:rtl w:val="0"/>
              </w:rPr>
              <w:t xml:space="preserve"> tool‑using pipelines.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Full-Automatic Scientific Comprehension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made clear that language‑only models lack the capabilities needed for truly automatic scientific reasoning, because key steps require external computation, retrieval, and formal checking. That crystallized a new problem for the “full‑automatic comprehension” vision: how to integrate tools and verification so that an end‑to‑end system can not only read but also </w:t>
            </w:r>
            <w:r w:rsidDel="00000000" w:rsidR="00000000" w:rsidRPr="00000000">
              <w:rPr>
                <w:rFonts w:ascii="Times New Roman" w:cs="Times New Roman" w:eastAsia="Times New Roman" w:hAnsi="Times New Roman"/>
                <w:i w:val="1"/>
                <w:iCs w:val="1"/>
                <w:sz w:val="24"/>
                <w:szCs w:val="24"/>
                <w:rtl w:val="0"/>
              </w:rPr>
              <w:t xml:space="preserve">reliably</w:t>
            </w:r>
            <w:r w:rsidDel="00000000" w:rsidR="00000000" w:rsidRPr="00000000">
              <w:rPr>
                <w:rFonts w:ascii="Times New Roman" w:cs="Times New Roman" w:eastAsia="Times New Roman" w:hAnsi="Times New Roman"/>
                <w:sz w:val="24"/>
                <w:szCs w:val="24"/>
                <w:rtl w:val="0"/>
              </w:rPr>
              <w:t xml:space="preserve"> solve and validate scientific arguments without human intervention.</w:t>
            </w:r>
          </w:p>
        </w:tc>
      </w:tr>
    </w:tbl>
    <w:p w:rsidR="00000000" w:rsidDel="00000000" w:rsidP="00000000" w:rsidRDefault="00000000" w:rsidRPr="00000000" w14:paraId="00000028">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