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Self-consistent multi‑trajectory sampling for chain‑of‑thought reasoning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self‑consistency</w:t>
            </w:r>
            <w:r w:rsidDel="00000000" w:rsidR="00000000" w:rsidRPr="00000000">
              <w:rPr>
                <w:rFonts w:ascii="Times New Roman" w:cs="Times New Roman" w:eastAsia="Times New Roman" w:hAnsi="Times New Roman"/>
                <w:sz w:val="24"/>
                <w:szCs w:val="24"/>
                <w:rtl w:val="0"/>
              </w:rPr>
              <w:t xml:space="preserve"> in chain‑of‑thought prompting proposed sampling many diverse reasoning paths from a language model and selecting the final answer by marginalizing over these sampled trajectories, instead of committing to a single greedy chain.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directly attacked the known fragility of greedy chain‑of‑thought reasoning by turning decoding into a </w:t>
            </w:r>
            <w:r w:rsidDel="00000000" w:rsidR="00000000" w:rsidRPr="00000000">
              <w:rPr>
                <w:rFonts w:ascii="Times New Roman" w:cs="Times New Roman" w:eastAsia="Times New Roman" w:hAnsi="Times New Roman"/>
                <w:i w:val="1"/>
                <w:iCs w:val="1"/>
                <w:sz w:val="24"/>
                <w:szCs w:val="24"/>
                <w:rtl w:val="0"/>
              </w:rPr>
              <w:t xml:space="preserve">structured ensemble</w:t>
            </w:r>
            <w:r w:rsidDel="00000000" w:rsidR="00000000" w:rsidRPr="00000000">
              <w:rPr>
                <w:rFonts w:ascii="Times New Roman" w:cs="Times New Roman" w:eastAsia="Times New Roman" w:hAnsi="Times New Roman"/>
                <w:sz w:val="24"/>
                <w:szCs w:val="24"/>
                <w:rtl w:val="0"/>
              </w:rPr>
              <w:t xml:space="preserve"> over multiple samples plus a voting/aggregation rule, prefiguring today’s dynamic sampling schemes that organize multiple candidate trajectories into trees, graphs, or ensembles rather than a single pass.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Best‑of‑N and rejection sampling guided by learned scorers at decoding time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RLHF summarization and WebGPT popularized generating many candidate completions from a policy and then </w:t>
            </w:r>
            <w:r w:rsidDel="00000000" w:rsidR="00000000" w:rsidRPr="00000000">
              <w:rPr>
                <w:rFonts w:ascii="Times New Roman" w:cs="Times New Roman" w:eastAsia="Times New Roman" w:hAnsi="Times New Roman"/>
                <w:i w:val="1"/>
                <w:iCs w:val="1"/>
                <w:sz w:val="24"/>
                <w:szCs w:val="24"/>
                <w:rtl w:val="0"/>
              </w:rPr>
              <w:t xml:space="preserve">selecting</w:t>
            </w:r>
            <w:r w:rsidDel="00000000" w:rsidR="00000000" w:rsidRPr="00000000">
              <w:rPr>
                <w:rFonts w:ascii="Times New Roman" w:cs="Times New Roman" w:eastAsia="Times New Roman" w:hAnsi="Times New Roman"/>
                <w:sz w:val="24"/>
                <w:szCs w:val="24"/>
                <w:rtl w:val="0"/>
              </w:rPr>
              <w:t xml:space="preserve"> the one with the highest score under a reward model (“best‑of‑N” / rejection sampling), while toxicity‑mitigation work used classifiers to repeatedly sample from an LM until a low‑toxicity completion was found.</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methods treated decoding as a </w:t>
            </w:r>
            <w:r w:rsidDel="00000000" w:rsidR="00000000" w:rsidRPr="00000000">
              <w:rPr>
                <w:rFonts w:ascii="Times New Roman" w:cs="Times New Roman" w:eastAsia="Times New Roman" w:hAnsi="Times New Roman"/>
                <w:i w:val="1"/>
                <w:iCs w:val="1"/>
                <w:sz w:val="24"/>
                <w:szCs w:val="24"/>
                <w:rtl w:val="0"/>
              </w:rPr>
              <w:t xml:space="preserve">two‑stage stochastic process</w:t>
            </w:r>
            <w:r w:rsidDel="00000000" w:rsidR="00000000" w:rsidRPr="00000000">
              <w:rPr>
                <w:rFonts w:ascii="Times New Roman" w:cs="Times New Roman" w:eastAsia="Times New Roman" w:hAnsi="Times New Roman"/>
                <w:sz w:val="24"/>
                <w:szCs w:val="24"/>
                <w:rtl w:val="0"/>
              </w:rPr>
              <w:t xml:space="preserve">—overgenerate, then structurally filter or rank with a learned scorer—showing that many alignment and safety problems could be attacked not by new models but by dynamic sampling policies over the same base LM, a template that later dynamic/structured sampling generalizes (e.g., multi‑objective, multi‑segment, or tree‑structured best‑of‑N).</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Logic‑constrained structured decoding over token sequences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NeuroLogic Decoding introduced a beam‑search‑style algorithm that enforces arbitrary lexical constraints expressed as predicate‑logic formulas during generation, by maintaining clause satisfaction states and adding penalty terms for constraint violations directly into the decoding objective.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reframed sampling as </w:t>
            </w:r>
            <w:r w:rsidDel="00000000" w:rsidR="00000000" w:rsidRPr="00000000">
              <w:rPr>
                <w:rFonts w:ascii="Times New Roman" w:cs="Times New Roman" w:eastAsia="Times New Roman" w:hAnsi="Times New Roman"/>
                <w:i w:val="1"/>
                <w:iCs w:val="1"/>
                <w:sz w:val="24"/>
                <w:szCs w:val="24"/>
                <w:rtl w:val="0"/>
              </w:rPr>
              <w:t xml:space="preserve">guided search in a structured constraint space</w:t>
            </w:r>
            <w:r w:rsidDel="00000000" w:rsidR="00000000" w:rsidRPr="00000000">
              <w:rPr>
                <w:rFonts w:ascii="Times New Roman" w:cs="Times New Roman" w:eastAsia="Times New Roman" w:hAnsi="Times New Roman"/>
                <w:sz w:val="24"/>
                <w:szCs w:val="24"/>
                <w:rtl w:val="0"/>
              </w:rPr>
              <w:t xml:space="preserve">, where the sampling policy explicitly tracks and prioritizes constraint satisfaction rather than just token likelihood—an early concrete recipe for structured sampling that later work extends to safety rules, schemas, and other non‑lexical constraints in dynamic decoding.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Discriminator‑ and expert‑guided logit reweighting during decoding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Generative‑discriminator and expert/anti‑expert approaches (e.g., GeDi and DExperts) showed how small auxiliary LMs or discriminators can adjust the base model’s logits at every step, effectively multiplying the LM distribution by an attribute model (sentiment, toxicity, topic) before sampling, often combined with top‑p/top‑k truncation.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methods solved known control and detoxification problems by turning decoding into a </w:t>
            </w:r>
            <w:r w:rsidDel="00000000" w:rsidR="00000000" w:rsidRPr="00000000">
              <w:rPr>
                <w:rFonts w:ascii="Times New Roman" w:cs="Times New Roman" w:eastAsia="Times New Roman" w:hAnsi="Times New Roman"/>
                <w:i w:val="1"/>
                <w:iCs w:val="1"/>
                <w:sz w:val="24"/>
                <w:szCs w:val="24"/>
                <w:rtl w:val="0"/>
              </w:rPr>
              <w:t xml:space="preserve">structured product‑of‑experts sampling process</w:t>
            </w:r>
            <w:r w:rsidDel="00000000" w:rsidR="00000000" w:rsidRPr="00000000">
              <w:rPr>
                <w:rFonts w:ascii="Times New Roman" w:cs="Times New Roman" w:eastAsia="Times New Roman" w:hAnsi="Times New Roman"/>
                <w:sz w:val="24"/>
                <w:szCs w:val="24"/>
                <w:rtl w:val="0"/>
              </w:rPr>
              <w:t xml:space="preserve">, where the next‑token distribution is dynamically reshaped by multiple signals; this directly anticipates modern dynamic sampling that fuses rewards, safety heads, verifiers, and preference models into a single, structured decoding policy.</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Plan‑then‑generate content‑planning decoders with hierarchical sampling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Plan‑then‑Generate and dynamic content‑planning work in data‑to‑text generation split decoding into first sampling a </w:t>
            </w:r>
            <w:r w:rsidDel="00000000" w:rsidR="00000000" w:rsidRPr="00000000">
              <w:rPr>
                <w:rFonts w:ascii="Times New Roman" w:cs="Times New Roman" w:eastAsia="Times New Roman" w:hAnsi="Times New Roman"/>
                <w:i w:val="1"/>
                <w:iCs w:val="1"/>
                <w:sz w:val="24"/>
                <w:szCs w:val="24"/>
                <w:rtl w:val="0"/>
              </w:rPr>
              <w:t xml:space="preserve">discrete content plan</w:t>
            </w:r>
            <w:r w:rsidDel="00000000" w:rsidR="00000000" w:rsidRPr="00000000">
              <w:rPr>
                <w:rFonts w:ascii="Times New Roman" w:cs="Times New Roman" w:eastAsia="Times New Roman" w:hAnsi="Times New Roman"/>
                <w:sz w:val="24"/>
                <w:szCs w:val="24"/>
                <w:rtl w:val="0"/>
              </w:rPr>
              <w:t xml:space="preserve"> (via CRFs or planners) and then sampling the surface text conditioned on that plan, sometimes with RL to reward plan–realization consistency and structural fidelity.</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attacked the long‑standing problem of incoherent or poorly structured outputs by explicitly hierarchizing sampling—first over plans, then over tokens—seeding the broader idea that high‑quality decoding should operate over </w:t>
            </w:r>
            <w:r w:rsidDel="00000000" w:rsidR="00000000" w:rsidRPr="00000000">
              <w:rPr>
                <w:rFonts w:ascii="Times New Roman" w:cs="Times New Roman" w:eastAsia="Times New Roman" w:hAnsi="Times New Roman"/>
                <w:i w:val="1"/>
                <w:iCs w:val="1"/>
                <w:sz w:val="24"/>
                <w:szCs w:val="24"/>
                <w:rtl w:val="0"/>
              </w:rPr>
              <w:t xml:space="preserve">structured latent objects</w:t>
            </w:r>
            <w:r w:rsidDel="00000000" w:rsidR="00000000" w:rsidRPr="00000000">
              <w:rPr>
                <w:rFonts w:ascii="Times New Roman" w:cs="Times New Roman" w:eastAsia="Times New Roman" w:hAnsi="Times New Roman"/>
                <w:sz w:val="24"/>
                <w:szCs w:val="24"/>
                <w:rtl w:val="0"/>
              </w:rPr>
              <w:t xml:space="preserve"> (plans, sketches, reasoning trees) rather than a single flat token sequence.</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