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825"/>
        <w:tblGridChange w:id="0">
          <w:tblGrid>
            <w:gridCol w:w="2220"/>
            <w:gridCol w:w="682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Planning‑guided discrete latent reasoning bottlenecks in multi‑hop generation</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Work on </w:t>
            </w:r>
            <w:r w:rsidDel="00000000" w:rsidR="00000000" w:rsidRPr="00000000">
              <w:rPr>
                <w:rFonts w:ascii="Times New Roman" w:cs="Times New Roman" w:eastAsia="Times New Roman" w:hAnsi="Times New Roman"/>
                <w:i w:val="1"/>
                <w:iCs w:val="1"/>
                <w:sz w:val="24"/>
                <w:szCs w:val="24"/>
                <w:rtl w:val="0"/>
              </w:rPr>
              <w:t xml:space="preserve">planning‑guided latent reasoning</w:t>
            </w:r>
            <w:r w:rsidDel="00000000" w:rsidR="00000000" w:rsidRPr="00000000">
              <w:rPr>
                <w:rFonts w:ascii="Times New Roman" w:cs="Times New Roman" w:eastAsia="Times New Roman" w:hAnsi="Times New Roman"/>
                <w:sz w:val="24"/>
                <w:szCs w:val="24"/>
                <w:rtl w:val="0"/>
              </w:rPr>
              <w:t xml:space="preserve"> for low‑resource, multi‑hop question generation introduced a generative model where a discrete latent variable (learned via a codebook / VQ-style bottleneck) captures the reasoning path from supporting documents to the final question, and the decoder conditions on this latent “reasoning code” rather than directly on text alone.</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Teaching LLMs Latent Space Reasoning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explicitly framed the </w:t>
            </w:r>
            <w:r w:rsidDel="00000000" w:rsidR="00000000" w:rsidRPr="00000000">
              <w:rPr>
                <w:rFonts w:ascii="Times New Roman" w:cs="Times New Roman" w:eastAsia="Times New Roman" w:hAnsi="Times New Roman"/>
                <w:i w:val="1"/>
                <w:iCs w:val="1"/>
                <w:sz w:val="24"/>
                <w:szCs w:val="24"/>
                <w:rtl w:val="0"/>
              </w:rPr>
              <w:t xml:space="preserve">reasoning process</w:t>
            </w:r>
            <w:r w:rsidDel="00000000" w:rsidR="00000000" w:rsidRPr="00000000">
              <w:rPr>
                <w:rFonts w:ascii="Times New Roman" w:cs="Times New Roman" w:eastAsia="Times New Roman" w:hAnsi="Times New Roman"/>
                <w:sz w:val="24"/>
                <w:szCs w:val="24"/>
                <w:rtl w:val="0"/>
              </w:rPr>
              <w:t xml:space="preserve"> as a compact, discrete latent object that’s optimized and then decoded into surface language, anticipating later approaches that teach LLMs to reason in a compressed latent space (codes or vectors) and only expose the final answer or a short explanation in natural language.</w:t>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6705"/>
        <w:tblGridChange w:id="0">
          <w:tblGrid>
            <w:gridCol w:w="2340"/>
            <w:gridCol w:w="670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Discourse-level discrete latent controllers for long-text Transformers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DiscoDVT proposed a discrete variational Transformer that first learns a sequence of discrete latent variables summarizing the </w:t>
            </w:r>
            <w:r w:rsidDel="00000000" w:rsidR="00000000" w:rsidRPr="00000000">
              <w:rPr>
                <w:rFonts w:ascii="Times New Roman" w:cs="Times New Roman" w:eastAsia="Times New Roman" w:hAnsi="Times New Roman"/>
                <w:i w:val="1"/>
                <w:iCs w:val="1"/>
                <w:sz w:val="24"/>
                <w:szCs w:val="24"/>
                <w:rtl w:val="0"/>
              </w:rPr>
              <w:t xml:space="preserve">global discourse structure</w:t>
            </w:r>
            <w:r w:rsidDel="00000000" w:rsidR="00000000" w:rsidRPr="00000000">
              <w:rPr>
                <w:rFonts w:ascii="Times New Roman" w:cs="Times New Roman" w:eastAsia="Times New Roman" w:hAnsi="Times New Roman"/>
                <w:sz w:val="24"/>
                <w:szCs w:val="24"/>
                <w:rtl w:val="0"/>
              </w:rPr>
              <w:t xml:space="preserve"> of a story, then uses those latents to guide token-level generation at each step, improving long-range coherence over plain pretrained LMs.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Teaching LLMs Latent Space Reasoning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using a small sequence of latent codes as a global controller of the generation process, this work showed how complex textual behavior can be steered via internal discrete states—an early template for teaching LLMs to perform multi-step reasoning by iterating over latent representations rather than emitting every reasoning step as explicit text.</w:t>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6765"/>
        <w:tblGridChange w:id="0">
          <w:tblGrid>
            <w:gridCol w:w="2280"/>
            <w:gridCol w:w="676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Latent-query intermediate representations for abstractive summarization</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Cardo" w:cs="Cardo" w:eastAsia="Cardo" w:hAnsi="Cardo"/>
                <w:sz w:val="24"/>
                <w:szCs w:val="24"/>
                <w:rtl w:val="0"/>
              </w:rPr>
              <w:t xml:space="preserve">Document summarization with latent queries introduced models that learn latent query vectors from a document; each latent query attends to specific parts of the text, and the summarizer conditions on these queries, effectively decomposing summarization into “infer latent questions → answer them with a summary.”</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Teaching LLMs Latent Space Reasoning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treated high-level semantic questions as latent reasoning slots that mediate between input and output, showing a concrete way to make LMs operate over a small set of internal latent reasoning vectors before producing text—very close in spirit to later work where LLMs reason via compact latent chains and only decode a final answer.</w:t>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6810"/>
        <w:tblGridChange w:id="0">
          <w:tblGrid>
            <w:gridCol w:w="2235"/>
            <w:gridCol w:w="681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Latent-language skill spaces for hierarchical planning and control</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Skill Induction and Planning with Latent Language modeled demonstrations with a hierarchical generative process where goals first generate sequences of high-level natural-language subtask descriptions, and these latent language “skills” then generate low-level actions, enabling planning and recombination of skills for new tasks from mostly unannotated data.</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Teaching LLMs Latent Space Reasoning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showed that language strings can function as latent codes over which a model plans and reasons, separate from raw observations—directly foreshadowing methods that teach LLMs to carry out reasoning in an internal latent language (or embedding) space and then decode only the distilled plan or answer outward.</w:t>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6705"/>
        <w:tblGridChange w:id="0">
          <w:tblGrid>
            <w:gridCol w:w="2340"/>
            <w:gridCol w:w="670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Discrete latent dialogue-action variables for explainable conversational policies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Work on interpretable latent dialogue actions built a variational recurrent model where each system turn is governed by a discrete latent variable representing the dialogue action, learned without explicit semantic labels, and shown to be both interpretable and beneficial for task-oriented dialogue quality.</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Teaching LLMs Latent Space Reasoning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architecture cleanly separated latent decision codes from surface utterances, demonstrating that conversational reasoning can happen in a compact latent action space that is then realized in language—precisely the structural move that underlies teaching LLMs to do most of their reasoning in latent space and treat text as a downstream rendering.</w:t>
            </w:r>
          </w:p>
        </w:tc>
      </w:tr>
    </w:tbl>
    <w:p w:rsidR="00000000" w:rsidDel="00000000" w:rsidP="00000000" w:rsidRDefault="00000000" w:rsidRPr="00000000" w14:paraId="00000032">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