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RL‑augmented unlikelihood training for text degeneration control</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2021, work on “implicit unlikelihood” showed that you can fine‑tune pretrained LMs with policy‑gradient RL layered on unlikelihood losses to directly penalize repetition and other degenerate behaviors, rather than relying purely on MLE.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LM training as “MLE plus reward‑shaped weighting” over the same text, demonstrating that global non‑differentiable properties (like non‑repetition) can be optimized via RL while keeping the LM architecture unchanged—exactly the recipe later reused when RL objectives are woven into the main LLM pretraining loop instead of only a short post‑training phase.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Q‑learning formulations for sequence‑level text objectives</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Soft Q‑learning for text generation cast sequence modeling as an off‑policy RL problem, learning a soft Q‑function over text with sparse sequence‑level rewards and then updating the LM via a mixture of RL and supervised (MLE‑like) targets.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showed that RL can effectively be implemented as a small modification to standard log‑likelihood training—reward‑weighted, off‑policy updates over text—providing a direct algorithmic template for later “RL as pretraining” schemes where next‑token prediction is still central but gradients are systematically shaped by reward on massive pretraining corpora.</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Reward‑quantized conditional language modeling (reward tokens as side information)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Reward‑quantized conditioning methods such as Quark took a pretrained LM, iteratively sampled text, scored it with a reward model, bucketed samples into reward quantiles, and then retrained the LM using standard LM loss conditioned on discrete “reward tokens” that tag each quantile, with a KL penalty to stay close to the base model.</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turning RL optimization almost entirely into conditional language modeling on reward‑labeled text, this work foreshadowed RL‑for‑pretraining pipelines where reward or preference scores are treated as extra conditioning signals during large‑scale LM training, rather than something applied only in a separate, small RLHF stage.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teacher‑forced language modeling as inverse RL with dense learned rewards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“Teacher forcing recovers reward functions” showed that a standard teacher‑forced seq2seq model implicitly defines a step‑wise reward function; from this, you can induce dense rewards and then continue training with RL on non‑parallel text, effectively treating MLE as an inverse RL step that recovers the reward landscape.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made the conceptual bridge that pretraining and RL are two views of the same underlying objective—log‑likelihood with different weightings—providing the theoretical backing for later RL‑for‑LLM‑pretraining approaches that treat RL updates as reward‑reweighted MLE over pretraining data rather than a fundamentally separate training phase.</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reward‑weighted updates for controllable generation and RLHF‑style fine‑tuning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Early large‑scale RLHF and controllable‑generation work (e.g., training summarization LMs or style‑controlled generators from human‑preference reward models) optimized sequence‑level rewards with PPO‑ or minimum‑risk‑style objectives and KL constraints, effectively doing reward‑weighted likelihood updates on top of pretrained LMs.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LLMs Pre-training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pipelines normalized the pattern “pretrain with MLE, then apply reward‑weighted likelihood + KL to the base model,” showing that such RL‑style objectives are stable and scalable for LMs; the natural next step—now seen in RL‑for‑pretraining work—was to push the same reward‑weighted paradigm back into the pretraining stage itself, using rewards to shape the entire training distribution rather than only a narrow post‑training slice.</w:t>
            </w:r>
          </w:p>
        </w:tc>
      </w:tr>
    </w:tbl>
    <w:p w:rsidR="00000000" w:rsidDel="00000000" w:rsidP="00000000" w:rsidRDefault="00000000" w:rsidRPr="00000000" w14:paraId="00000032">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