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050"/>
        <w:tblGridChange w:id="0">
          <w:tblGrid>
            <w:gridCol w:w="1995"/>
            <w:gridCol w:w="70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Fine-grained algorithm-and-architecture search spaces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AutoML‑Zero defined a generic program space where </w:t>
            </w:r>
            <w:r w:rsidDel="00000000" w:rsidR="00000000" w:rsidRPr="00000000">
              <w:rPr>
                <w:rFonts w:ascii="Times New Roman" w:cs="Times New Roman" w:eastAsia="Times New Roman" w:hAnsi="Times New Roman"/>
                <w:i w:val="1"/>
                <w:iCs w:val="1"/>
                <w:sz w:val="24"/>
                <w:szCs w:val="24"/>
                <w:rtl w:val="0"/>
              </w:rPr>
              <w:t xml:space="preserve">entire</w:t>
            </w:r>
            <w:r w:rsidDel="00000000" w:rsidR="00000000" w:rsidRPr="00000000">
              <w:rPr>
                <w:rFonts w:ascii="Times New Roman" w:cs="Times New Roman" w:eastAsia="Times New Roman" w:hAnsi="Times New Roman"/>
                <w:sz w:val="24"/>
                <w:szCs w:val="24"/>
                <w:rtl w:val="0"/>
              </w:rPr>
              <w:t xml:space="preserve"> ML algorithms—model structure, update rule, data handling—are expressed as short programs built from basic math ops, and an evolutionary controller searches this space to discover end‑to‑end learning algorithms such as backprop‑trained neural nets and their variants.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Architecture-Algorithm Co-Design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attacked the known bottleneck of human‑designed architectures and optimizers by jointly searching </w:t>
            </w:r>
            <w:r w:rsidDel="00000000" w:rsidR="00000000" w:rsidRPr="00000000">
              <w:rPr>
                <w:rFonts w:ascii="Times New Roman" w:cs="Times New Roman" w:eastAsia="Times New Roman" w:hAnsi="Times New Roman"/>
                <w:i w:val="1"/>
                <w:iCs w:val="1"/>
                <w:sz w:val="24"/>
                <w:szCs w:val="24"/>
                <w:rtl w:val="0"/>
              </w:rPr>
              <w:t xml:space="preserve">both</w:t>
            </w:r>
            <w:r w:rsidDel="00000000" w:rsidR="00000000" w:rsidRPr="00000000">
              <w:rPr>
                <w:rFonts w:ascii="Times New Roman" w:cs="Times New Roman" w:eastAsia="Times New Roman" w:hAnsi="Times New Roman"/>
                <w:sz w:val="24"/>
                <w:szCs w:val="24"/>
                <w:rtl w:val="0"/>
              </w:rPr>
              <w:t xml:space="preserve"> within a unified algorithm space, showing that co‑design of “network + learning rule” is tractable—later RL‑for‑architecture–algorithm co‑design for LLMs essentially swaps the evolutionary search with RL-style controllers and applies the same philosophy to Transformer families and training pipelines.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Pretraining-centric NAS for BERT-style LMs with adaptive model families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NAS‑BERT trained a large BERT supernet on masked‑LM pretraining and then used neural architecture search (block‑wise search, space pruning, performance approximation) to pick multiple compressed Transformer variants with different depths/widths and latency/size trade‑offs that remain task‑agnostic yet competitive on GLUE and SQuAD.</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Architecture-Algorithm Co-Design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By running architecture search </w:t>
            </w:r>
            <w:r w:rsidDel="00000000" w:rsidR="00000000" w:rsidRPr="00000000">
              <w:rPr>
                <w:rFonts w:ascii="Times New Roman" w:cs="Times New Roman" w:eastAsia="Times New Roman" w:hAnsi="Times New Roman"/>
                <w:i w:val="1"/>
                <w:iCs w:val="1"/>
                <w:sz w:val="24"/>
                <w:szCs w:val="24"/>
                <w:rtl w:val="0"/>
              </w:rPr>
              <w:t xml:space="preserve">directly on the pretraining objective</w:t>
            </w:r>
            <w:r w:rsidDel="00000000" w:rsidR="00000000" w:rsidRPr="00000000">
              <w:rPr>
                <w:rFonts w:ascii="Times New Roman" w:cs="Times New Roman" w:eastAsia="Times New Roman" w:hAnsi="Times New Roman"/>
                <w:sz w:val="24"/>
                <w:szCs w:val="24"/>
                <w:rtl w:val="0"/>
              </w:rPr>
              <w:t xml:space="preserve"> and emitting a whole family of architectures tuned to that algorithm, NAS‑BERT instantiated joint design of “pretraining procedure + architecture menu,” setting up the pattern that RL-based co‑design later follows when reinforcement objectives (e.g., reward models, efficiency rewards) shape both LLM pretraining and the set of architectures we train and deploy.</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990"/>
        <w:tblGridChange w:id="0">
          <w:tblGrid>
            <w:gridCol w:w="205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Sequence-model RL that treats Transformers themselves as the RL algorithm</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Decision Transformer and Trajectory Transformer reframed offline RL as conditional sequence modeling, training Transformers on trajectories of returns, states, actions, and rewards so that action selection is done by autoregressive decoding with return conditioning or beam‑search planning, instead of via explicit value functions or policy‑gradient updates.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Architecture-Algorithm Co-Design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These works effectively collapsed much of the RL algorithm into architectural and decoding choices, showing that a Transformer can </w:t>
            </w:r>
            <w:r w:rsidDel="00000000" w:rsidR="00000000" w:rsidRPr="00000000">
              <w:rPr>
                <w:rFonts w:ascii="Times New Roman" w:cs="Times New Roman" w:eastAsia="Times New Roman" w:hAnsi="Times New Roman"/>
                <w:i w:val="1"/>
                <w:iCs w:val="1"/>
                <w:sz w:val="24"/>
                <w:szCs w:val="24"/>
                <w:rtl w:val="0"/>
              </w:rPr>
              <w:t xml:space="preserve">be</w:t>
            </w:r>
            <w:r w:rsidDel="00000000" w:rsidR="00000000" w:rsidRPr="00000000">
              <w:rPr>
                <w:rFonts w:ascii="Times New Roman" w:cs="Times New Roman" w:eastAsia="Times New Roman" w:hAnsi="Times New Roman"/>
                <w:sz w:val="24"/>
                <w:szCs w:val="24"/>
                <w:rtl w:val="0"/>
              </w:rPr>
              <w:t xml:space="preserve"> the RL algorithm when trained appropriately; that architecture‑as‑algorithm view is exactly what RL-for‑LLM co‑design builds on when it jointly tweaks Transformer variants and RL update/decoding schemes to get better data efficiency, stability, or in‑context learning.</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900"/>
        <w:tblGridChange w:id="0">
          <w:tblGrid>
            <w:gridCol w:w="2145"/>
            <w:gridCol w:w="69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Distilling reinforcement learning algorithms into Transformer in-context learners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Algorithm Distillation generated learning histories from a base RL algorithm across many tasks and trained a causal Transformer to autoregressively predict actions given the entire history, yielding a model that can perform reinforcement learning </w:t>
            </w:r>
            <w:r w:rsidDel="00000000" w:rsidR="00000000" w:rsidRPr="00000000">
              <w:rPr>
                <w:rFonts w:ascii="Times New Roman" w:cs="Times New Roman" w:eastAsia="Times New Roman" w:hAnsi="Times New Roman"/>
                <w:i w:val="1"/>
                <w:iCs w:val="1"/>
                <w:sz w:val="24"/>
                <w:szCs w:val="24"/>
                <w:rtl w:val="0"/>
              </w:rPr>
              <w:t xml:space="preserve">in context</w:t>
            </w:r>
            <w:r w:rsidDel="00000000" w:rsidR="00000000" w:rsidRPr="00000000">
              <w:rPr>
                <w:rFonts w:ascii="Times New Roman" w:cs="Times New Roman" w:eastAsia="Times New Roman" w:hAnsi="Times New Roman"/>
                <w:sz w:val="24"/>
                <w:szCs w:val="24"/>
                <w:rtl w:val="0"/>
              </w:rPr>
              <w:t xml:space="preserve">—improving its policy purely by seeing longer histories at test time, with no parameter updates.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Architecture-Algorithm Co-Design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AD explicitly ties what RL algorithm is implemented to the Transformer’s architecture and context window: the learned “algorithm” emerges from training rather than being hand‑coded, and its expressivity depends on architectural design—directly foreshadowing RL for architecture–algorithm co‑design in LLMs, where RL signals are used to sculpt architectures that </w:t>
            </w:r>
            <w:r w:rsidDel="00000000" w:rsidR="00000000" w:rsidRPr="00000000">
              <w:rPr>
                <w:rFonts w:ascii="Times New Roman" w:cs="Times New Roman" w:eastAsia="Times New Roman" w:hAnsi="Times New Roman"/>
                <w:i w:val="1"/>
                <w:iCs w:val="1"/>
                <w:sz w:val="24"/>
                <w:szCs w:val="24"/>
                <w:rtl w:val="0"/>
              </w:rPr>
              <w:t xml:space="preserve">implement</w:t>
            </w:r>
            <w:r w:rsidDel="00000000" w:rsidR="00000000" w:rsidRPr="00000000">
              <w:rPr>
                <w:rFonts w:ascii="Times New Roman" w:cs="Times New Roman" w:eastAsia="Times New Roman" w:hAnsi="Times New Roman"/>
                <w:sz w:val="24"/>
                <w:szCs w:val="24"/>
                <w:rtl w:val="0"/>
              </w:rPr>
              <w:t xml:space="preserve"> desired learning and decision procedures in‑context.</w:t>
            </w:r>
            <w:r w:rsidDel="00000000" w:rsidR="00000000" w:rsidRPr="00000000">
              <w:rPr>
                <w:rtl w:val="0"/>
              </w:rPr>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