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40"/>
        <w:tblGridChange w:id="0">
          <w:tblGrid>
            <w:gridCol w:w="2205"/>
            <w:gridCol w:w="68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Gradient-steered discrete trigger search for language models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automated prompting strategy that treats each prompt as a sequence of discrete “trigger” tokens and uses gradient-guided search over the vocabulary to construct prompts for masked LMs. The AutoPrompt work showed that a tiny number of optimized tokens, often nonsensical to humans, could replace full natural-language instructions for tasks like sentiment analysis, NLI, and factual recall.</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Hard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demonstrated that rich task semantics can be encoded into very short, discrete token strings, effectively acting as compressed codes for much longer prompts. This was an early, under-recognized instance of “hard” compression at the prompt level, foreshadowing later methods that learn compact natural-language (or quasi-natural-language) prompts to stand in for verbose instructions and contexts in LLMs.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005"/>
        <w:tblGridChange w:id="0">
          <w:tblGrid>
            <w:gridCol w:w="204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Reinforcement-learned simplification for multi-paragraph discrete compression</w:t>
            </w:r>
          </w:p>
        </w:tc>
      </w:tr>
      <w:tr>
        <w:trPr>
          <w:cantSplit w:val="0"/>
          <w:trHeight w:val="2221.6113281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family of unsupervised text simplification methods (exemplified by “Keep It Simple”) that use reinforcement learning to train generators to shorten multi-paragraph text while balancing fluency, salience, and simplicity in a composite reward. These models learn to delete and rewrite spans so that outputs are substantially shorter than the input yet still preserve key information, without needing parallel simplification data.</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Hard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framing discrete text compression as an RL-controlled simplification problem, this line of work provided a ready-made mechanism for turning long contexts into much shorter text while preserving task-relevant content. Later prompt-compression frameworks explicitly adopt these RL simplifiers (e.g., KiS) as off‑the‑shelf “hard compressors” for LLM prompts, revealing this work as an early solution template for hard prompt compression.</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keep/drop sentence compression with RL sequence labeling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sentence-compression approach (SCRL) that recasts compression as binary sequence labeling, where each token is labeled “keep” or “drop” and a transformer is fine-tuned with policy-gradient reinforcement learning to optimize rewards for brevity, grammaticality, and faithfulness. This yields efficient, unsupervised compression that removes non-essential tokens while maintaining factual content and fast inference.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Hard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SCRL’s keep/drop formulation and RL training are almost structurally identical to many modern hard prompt compressors that score or label each token in an over-long prompt and then prune. Its success showed that discrete, token-level compression controlled by task-aware rewards can preserve usefulness while aggressively shrinking sequences, directly anticipating RL-based and scoring-based hard prompt compression for LLMs.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Reinforcement-learning optimization of discrete task prompts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RL-based framework (RLPrompt) that treats the entire discrete prompt as the action of a policy network, optimizing sequences of tokens to maximize downstream task performance for frozen LMs. The learned prompts are often ungrammatical “gibberish”, yet transfer across different language models and tasks, showing they encode compressed, model-internal control signals rather than human-readable instructions.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Hard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RLPrompt established that discrete prompts themselves can be optimized as compact control codes, independent of human interpretability, and that short strings can absorb much of the supervision signal. This directly foreshadows hard prompt compression where long instructions, examples, or contexts are distilled into short, discrete prompts that still drive high task performance, differing mainly in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is being compressed (task vs. context).</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Context-to-soft-prompt distillation for compact conditioning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prompt-compression approach that trains short soft prompts to mimic the behavior of long, attribute-rich natural-language prompts by minimizing the KL divergence between generations conditioned on the full prompt and on the compressed soft code. In “Prompt Compression and Contrastive Conditioning,” this is used to retain high-level attributes (e.g., toxicity, sentiment) in a much shorter representation and to steer generation through contrastive conditioning.</w:t>
            </w:r>
            <w:r w:rsidDel="00000000" w:rsidR="00000000" w:rsidRPr="00000000">
              <w:rPr>
                <w:rtl w:val="0"/>
              </w:rPr>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Hard Prompt Compression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Although the compressed prompts are continuous vectors rather than discrete tokens, the teacher–student distillation pattern—mapping long prompts into short codes that preserve generation behavior—matches the core design of later hard prompt compression methods. Subsequent surveys and frameworks explicitly position this work as an early “soft” compression baseline, clarifying the design space and motivating discrete (hard) prompt compression that operates in natural-language token space instead of embedding space.</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