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dense retrieval as neural knowledge index</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Dual-encoder dense retrievers such as DPR represent questions and passages with separate BERT-based encoders and train them with contrastive losses on QA pairs, enabling efficient nearest-neighbor search over millions of passages for open-domain QA.</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provided a concrete, reusable </w:t>
            </w:r>
            <w:r w:rsidDel="00000000" w:rsidR="00000000" w:rsidRPr="00000000">
              <w:rPr>
                <w:rFonts w:ascii="Times New Roman" w:cs="Times New Roman" w:eastAsia="Times New Roman" w:hAnsi="Times New Roman"/>
                <w:i w:val="1"/>
                <w:iCs w:val="1"/>
                <w:sz w:val="24"/>
                <w:szCs w:val="24"/>
                <w:rtl w:val="0"/>
              </w:rPr>
              <w:t xml:space="preserve">retrieval module</w:t>
            </w:r>
            <w:r w:rsidDel="00000000" w:rsidR="00000000" w:rsidRPr="00000000">
              <w:rPr>
                <w:rFonts w:ascii="Times New Roman" w:cs="Times New Roman" w:eastAsia="Times New Roman" w:hAnsi="Times New Roman"/>
                <w:sz w:val="24"/>
                <w:szCs w:val="24"/>
                <w:rtl w:val="0"/>
              </w:rPr>
              <w:t xml:space="preserve"> that could plug into any downstream reader or generator, proving that high-recall neural retrieval over huge text collections is practical—essentially giving later RAG-based systems the “R” component they needed.</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retrieval-augmented LM pretraining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REALM augmented masked LM pretraining with a latent neural retriever over Wikipedia, backpropagating through approximate kNN search so the model learned to fetch relevant documents as part of its language modeling objective.</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retrieval can be baked into </w:t>
            </w:r>
            <w:r w:rsidDel="00000000" w:rsidR="00000000" w:rsidRPr="00000000">
              <w:rPr>
                <w:rFonts w:ascii="Times New Roman" w:cs="Times New Roman" w:eastAsia="Times New Roman" w:hAnsi="Times New Roman"/>
                <w:i w:val="1"/>
                <w:iCs w:val="1"/>
                <w:sz w:val="24"/>
                <w:szCs w:val="24"/>
                <w:rtl w:val="0"/>
              </w:rPr>
              <w:t xml:space="preserve">pretraining</w:t>
            </w:r>
            <w:r w:rsidDel="00000000" w:rsidR="00000000" w:rsidRPr="00000000">
              <w:rPr>
                <w:rFonts w:ascii="Times New Roman" w:cs="Times New Roman" w:eastAsia="Times New Roman" w:hAnsi="Times New Roman"/>
                <w:sz w:val="24"/>
                <w:szCs w:val="24"/>
                <w:rtl w:val="0"/>
              </w:rPr>
              <w:t xml:space="preserve"> rather than treated as a separate module, foreshadowing RAG-based methods where retrieval is a first-class part of the LM stack and not just an add-on for QA.</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Decoder-side multi-passage fusion for generative QA</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Fusion-in-Decoder–style models first retrieve many support passages, then encode each passage and let a seq2seq decoder jointly attend over all encoded passages plus the question, allowing generation to aggregate evidence from dozens of documents.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established a powerful pattern for the “G” in RAG—late fusion in the decoder over a large retrieved set—demonstrating that generative readers can robustly combine many snippets of evidence, which later RAG-based methods generalized to broader tasks like long-form QA and summarization.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retriever–generator fine-tuning for knowledge-intensive tasks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original RAG formulations combined a pre-trained dense retriever with a pre-trained seq2seq LM and fine-tuned them together, conditioning generation on retrieved passages either fixed per sequence or varying per token to tackle a wide range of knowledge-intensive tasks.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Although initially just one architecture, it introduced the now-standard recipe—modular parametric LM plus non-parametric index trained end-to-end—that became the conceptual template for modern RAG-based systems and their many variants.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Nearest-neighbor augmented language models as external token memory</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kNN-LM extended a trained LM by linearly interpolating its next-token distribution with that from a k-nearest-neighbor lookup over a datastore of training representations, effectively attaching a non-parametric memory that can be updated or re-indexed without retraining the base model.</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a frozen LM can gain factual accuracy and domain adaptation purely by consulting an external index at inference, prefiguring RAG methods that ground generation in external stores while minimally modifying the underlying language model.</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contrastive pretraining for domain-general dense retrievers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Contriever-style approaches trained a single shared encoder for queries and documents using contrastive learning on unlabeled text, yielding dense retrievers that generalize well across many BEIR tasks and often outperform BM25 without any task-specific supervision.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removing the need for large labeled QA datasets, these unsupervised dense retrievers made it easy to build strong retrieval modules for arbitrary corpora, a key enabler for deploying RAG-based methods in real-world, low-supervision domains.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