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LM-based action proposal for text-based environments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(2020)</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2020, contextual action language models trained GPT‑2-style LMs on human transcripts from text-based games so that, given the game’s text history, the LM generated a compact shortlist of plausible next actions which a separate RL agent then re-ranked and executed. This decoupled language-driven action generation from value estimation, and showed a single LM could generalize action suggestions across many games with enormous action spaces.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pattern “LM proposes candidate actions, another module chooses among them based on rewards or scores” is exactly the skeleton of many modern LLM agents. It provided an early concrete solution showing that LMs can serve as a domain-general policy head over open-ended action spaces, a core design in today’s agent-based methods.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245"/>
        <w:tblGridChange w:id="0">
          <w:tblGrid>
            <w:gridCol w:w="1800"/>
            <w:gridCol w:w="72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LM-based web-browsing with human-feedback optimization</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2021, WebGPT fine-tuned GPT‑3 to operate a text-based browser interface, issuing actions such as searching, following links, and quoting snippets to navigate the web and answer long-form questions, then optimized behavior via a reward model trained from human preferences. The LM acted in a multi-step browsing environment, deciding which pages to open, what to read, and which citations to collect before composing an answer.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WebGPT instantiated the now-standard LM agent loop: observe environment → emit structured action → receive new observation → update internal trajectory, with RLHF shaping the resulting policy. This provided an explicit solution recipe for turning a language model into a web-acting agent, which later agent-based frameworks generalized to tools, APIs, and full browsers.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350"/>
        <w:tblGridChange w:id="0">
          <w:tblGrid>
            <w:gridCol w:w="1695"/>
            <w:gridCol w:w="73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LM-initialized policies for interactive decision-making</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pre-trained LMs for interactive decision-making initialized policies for sequential tasks with a language model, encoding goals and observations as sequences and fine-tuning the LM-based policy via behavior cloning and active data gathering in environments like VirtualHome. This approach showed large gains in combinatorial generalization and performance compared to non-LM policies, and used iterative interaction plus self-supervised relabeling of failed trajectories with new goals.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Treating a pre-trained LM as the backbone of a general policy network is now central to many agent architectures that wrap LLMs with observation encoders and action heads. This line of work supplied a concrete solution for reusing LM representations to scaffold interactive decision-making, foreshadowing how modern agents simply “drop” an LLM into the role of the core policy.</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Zero-shot natural language planning for embodied agents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“Language Models as Zero-Shot Planners” showed that large, frozen LMs like GPT‑3 and Codex, when prompted with a single example, could decompose high-level tasks (e.g., “make breakfast”) into mid-level natural language action sequences, then semantically translate those steps into admissible programs for environments such as VirtualHome. It introduced translation and trajectory-correction procedures to convert free-form text plans into executable actions without additional LM training.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agents routinely use LLMs as high-level planners that emit action sequences, tool calls, or subgoals which are then grounded into environment-specific APIs; this work was an early proof that such planning could be obtained from pre-trained LMs with the right prompting and translation layers. It crystallized a reusable solution pattern — “plan in language, then map to actions” — that underlies many contemporary agent-based methods.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LM-guided skill selection with grounded feasibility for robots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SayCan framework combined a large language model with learned value (affordance) functions over robot skills: the LM scored how relevant each skill was to a natural-language instruction, while value functions estimated the probability of success in the current state, and the combined score picked the next skill in long-horizon manipulation tasks. The robot and LM iteratively selected and executed skills to complete multi-step instructions in real-world office and kitchen environments.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SayCan instantiated a clean division of labor where the LM handles semantic task understanding and high-level planning, while separate modules handle grounded feasibility — a structure mirrored in many agents that pair LLMs with tool catalogs, simulators, or critic models. It demonstrated that LMs could drive physically embodied agents through iterative decision-making, directly prefiguring today’s embodied and tool-using agent architectures.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365"/>
        <w:tblGridChange w:id="0">
          <w:tblGrid>
            <w:gridCol w:w="1680"/>
            <w:gridCol w:w="736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Prompt-based internet and API augmentation of LMs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Internet-augmented LM work in 2022 used few-shot prompts to teach a frozen LM to issue web search queries and condition on retrieved snippets when answering questions, without any fine-tuning, effectively treating Google Search as an external knowledge tool. In parallel, Tool Augmented Language Models (TALM) treated arbitrary APIs as non-differentiable tools callable through textual arguments, and used an iterative “self-play” scheme to bootstrap robust tool use from a handful of demonstrations.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These works provided explicit solution recipes for modeling tools and search engines as first-class actions in an LM’s output space and looping their results back into the context. That “LM → tool call → observation → next LM step” template is now fundamental to agent-based methods, which rely on LLMs orchestrating sequences of API calls, searches, and environment interactions.</w:t>
            </w:r>
          </w:p>
        </w:tc>
      </w:tr>
    </w:tbl>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7</w:t>
      </w:r>
    </w:p>
    <w:tbl>
      <w:tblPr>
        <w:tblStyle w:val="Table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425"/>
        <w:tblGridChange w:id="0">
          <w:tblGrid>
            <w:gridCol w:w="1620"/>
            <w:gridCol w:w="74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Interleaving chain-of-thought reasoning with environment actions</w:t>
            </w:r>
          </w:p>
        </w:tc>
      </w:tr>
      <w:tr>
        <w:trPr>
          <w:cantSplit w:val="0"/>
          <w:trHeight w:val="228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ReAct framework introduced prompting schemes where the LM alternates between explicit reasoning steps (“Thought: …”) and concrete environment actions (e.g., Wikipedia API queries, navigation commands in ALFWorld and WebShop), with each observation appended back into the prompt for further reasoning. On QA, fact verification, and interactive decision-making benchmarks, this purely prompt-based agent substantially outperformed RL and imitation baselines while producing interpretable trajectories.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Agent-Based Methods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effectively turned a prompted LM into a full-fledged agent that maintains an internal scratchpad, calls tools/environments, and conditions future actions on both its thoughts and observations — the core loop of contemporary “agentic” LLM frameworks. By showing that this reasoning–acting interleaving can be induced without extra training, it offered a portable solution template that many later agent-based systems directly adopted.</w:t>
            </w:r>
          </w:p>
        </w:tc>
      </w:tr>
    </w:tbl>
    <w:p w:rsidR="00000000" w:rsidDel="00000000" w:rsidP="00000000" w:rsidRDefault="00000000" w:rsidRPr="00000000" w14:paraId="00000046">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