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70"/>
        <w:tblGridChange w:id="0">
          <w:tblGrid>
            <w:gridCol w:w="2475"/>
            <w:gridCol w:w="65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Gradient‑bucket all‑reduce with autograd hooks in data‑parallel Transformer training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Around 2020, PyTorch DistributedDataParallel evolved from a “sync everything at the end” design to bucketizing gradients and launching asynchronous NCCL all‑reduces as soon as each bucket became ready, using per‑parameter autograd hooks. This let gradient communication overlap with the remaining backward computation instead of being a separate phase.</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communication bottleneck in multi‑GPU NLP training was already well known, but this design offered a concrete </w:t>
            </w:r>
            <w:r w:rsidDel="00000000" w:rsidR="00000000" w:rsidRPr="00000000">
              <w:rPr>
                <w:rFonts w:ascii="Times New Roman" w:cs="Times New Roman" w:eastAsia="Times New Roman" w:hAnsi="Times New Roman"/>
                <w:i w:val="1"/>
                <w:iCs w:val="1"/>
                <w:sz w:val="24"/>
                <w:szCs w:val="24"/>
                <w:rtl w:val="0"/>
              </w:rPr>
              <w:t xml:space="preserve">mechanism</w:t>
            </w:r>
            <w:r w:rsidDel="00000000" w:rsidR="00000000" w:rsidRPr="00000000">
              <w:rPr>
                <w:rFonts w:ascii="Times New Roman" w:cs="Times New Roman" w:eastAsia="Times New Roman" w:hAnsi="Times New Roman"/>
                <w:sz w:val="24"/>
                <w:szCs w:val="24"/>
                <w:rtl w:val="0"/>
              </w:rPr>
              <w:t xml:space="preserve">—tying collectives to the backward graph and bucketing—to hide that cost. It quietly introduced the now-standard pattern of treating communication as a fine‑grained, graph‑driven stream that should be overlapped with compute, which later general solutions for communication–computation overlapping (in DDP/FSDP, sequence parallelism, etc.) generalized and refined.</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Overlap‑centric ZeRO offload schedules across GPU, CPU, and NVMe tiers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ZeRO‑Offload and ZeRO‑Infinity (DeepSpeed) extended ZeRO to offload optimizer states, parameters, and gradients to CPU and NVMe, using one‑step delayed parameter updates and carefully staged asynchronous transfers. Their “overlap‑centric” design explicitly set out to hide NVMe↔CPU↔GPU communication latency under the forward and backward passes for large Transformer LMs.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pain point—multi‑tier memory and slow interconnects throttling giant NLP models—was well understood, but ZeRO’s offload schedules reframed the solution as an explicit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of overlapping I/O and compute. Ideas like delayed updates, chunked transfers, and multi-stream overlap across NVMe, CPU, and GPU became templates for later, more general communication–computation overlap systems in LLM training, not just for offload.</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collective accelerators (ACE‑style) to decouple DL communication from GPU compute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Hardware–software co‑design work such as ACE proposed dedicated accelerator‑side engines for DL collectives that sit next to the accelerator fabric interface and handle all‑reduce/all‑to‑all, freeing GPU SMs and memory bandwidth for training compute. Evaluations on workloads including GNMT and Megatron‑LM showed that moving collectives off the main GPU cores significantly improves effective network utilization and reduces iteration time.</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Contention between communication kernels and GEMMs on the same GPU was a known limitation, but ACE‑style endpoints introduced a </w:t>
            </w:r>
            <w:r w:rsidDel="00000000" w:rsidR="00000000" w:rsidRPr="00000000">
              <w:rPr>
                <w:rFonts w:ascii="Times New Roman" w:cs="Times New Roman" w:eastAsia="Times New Roman" w:hAnsi="Times New Roman"/>
                <w:i w:val="1"/>
                <w:iCs w:val="1"/>
                <w:sz w:val="24"/>
                <w:szCs w:val="24"/>
                <w:rtl w:val="0"/>
              </w:rPr>
              <w:t xml:space="preserve">structural</w:t>
            </w:r>
            <w:r w:rsidDel="00000000" w:rsidR="00000000" w:rsidRPr="00000000">
              <w:rPr>
                <w:rFonts w:ascii="Times New Roman" w:cs="Times New Roman" w:eastAsia="Times New Roman" w:hAnsi="Times New Roman"/>
                <w:sz w:val="24"/>
                <w:szCs w:val="24"/>
                <w:rtl w:val="0"/>
              </w:rPr>
              <w:t xml:space="preserve"> solution: physically separate communication engines so compute and comm can truly overlap without fighting for SMs and memory bandwidth. This hardware pattern foreshadowed later system‑level work on better scheduling and partitioning of communication vs. computation in large‑scale NLP training.</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540"/>
        <w:tblGridChange w:id="0">
          <w:tblGrid>
            <w:gridCol w:w="2505"/>
            <w:gridCol w:w="65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Dynamic working‑window offload with software pipelines that overlap CPU↔GPU transfers with layerwise training</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Systems like STRONGHOLD introduced a runtime that maintains a sliding “working window” of Transformer layers in GPU memory and uses asynchronous prefetch/eviction hooks to move layer parameters and gradients between CPU and GPU while forward/backward passes proceed. The design explicitly tunes the window size so CPU–GPU transfers are overlapped with GPU compute, largely hiding data‑movement latency while supporting very large NLP models on modest GPUs.</w:t>
            </w:r>
            <w:r w:rsidDel="00000000" w:rsidR="00000000" w:rsidRPr="00000000">
              <w:rPr>
                <w:rtl w:val="0"/>
              </w:rPr>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Memory limits and PCIe bottlenecks for big NLP models were familiar problems, but STRONGHOLD’s windowed, hook‑driven software pipeline showed how to systematically arrange computation so that communication (offload and prefetch) runs in parallel with layer execution. That layer‑granular overlap model now underpins many modern approaches that treat communication–computation overlapping as a first‑class scheduling problem rather than a side‑effect of using multiple CUDA streams.</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