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380"/>
        <w:tblGridChange w:id="0">
          <w:tblGrid>
            <w:gridCol w:w="1665"/>
            <w:gridCol w:w="73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RL for text with token-level quality rewards</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2021, GOLD framed text generation as an </w:t>
            </w:r>
            <w:r w:rsidDel="00000000" w:rsidR="00000000" w:rsidRPr="00000000">
              <w:rPr>
                <w:rFonts w:ascii="Times New Roman" w:cs="Times New Roman" w:eastAsia="Times New Roman" w:hAnsi="Times New Roman"/>
                <w:i w:val="1"/>
                <w:iCs w:val="1"/>
                <w:sz w:val="24"/>
                <w:szCs w:val="24"/>
                <w:rtl w:val="0"/>
              </w:rPr>
              <w:t xml:space="preserve">offline</w:t>
            </w:r>
            <w:r w:rsidDel="00000000" w:rsidR="00000000" w:rsidRPr="00000000">
              <w:rPr>
                <w:rFonts w:ascii="Times New Roman" w:cs="Times New Roman" w:eastAsia="Times New Roman" w:hAnsi="Times New Roman"/>
                <w:sz w:val="24"/>
                <w:szCs w:val="24"/>
                <w:rtl w:val="0"/>
              </w:rPr>
              <w:t xml:space="preserve"> RL problem over expert demonstrations and defined token-level reward functions r(s</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based on a teacher model’s probability p</w:t>
            </w:r>
            <w:r w:rsidDel="00000000" w:rsidR="00000000" w:rsidRPr="00000000">
              <w:rPr>
                <w:rFonts w:ascii="Times New Roman" w:cs="Times New Roman" w:eastAsia="Times New Roman" w:hAnsi="Times New Roman"/>
                <w:sz w:val="24"/>
                <w:szCs w:val="24"/>
                <w:vertAlign w:val="subscript"/>
                <w:rtl w:val="0"/>
              </w:rPr>
              <w:t xml:space="preserve">MLE</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Gungsuh" w:cs="Gungsuh" w:eastAsia="Gungsuh" w:hAnsi="Gungsuh"/>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so that every token in a reference sequence contributed to the return.</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Dense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showed that dense, per-token reward signals derived from an existing model can make RL for text generation stable and sample‑efficient, directly attacking the sparse‑reward and credit‑assignment problems that had blocked RL for language. Later dense‑reward RLHF work generalizes this idea by learning or transforming dense token‑level scores from coarse human feedback, instead of relying only on a single scalar sequence reward.</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380"/>
        <w:tblGridChange w:id="0">
          <w:tblGrid>
            <w:gridCol w:w="1665"/>
            <w:gridCol w:w="73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Per-token KL-based reward shaping in RLHF</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InstructGPT-style RLHF optimized a sequence-level reward model but </w:t>
            </w:r>
            <w:r w:rsidDel="00000000" w:rsidR="00000000" w:rsidRPr="00000000">
              <w:rPr>
                <w:rFonts w:ascii="Times New Roman" w:cs="Times New Roman" w:eastAsia="Times New Roman" w:hAnsi="Times New Roman"/>
                <w:i w:val="1"/>
                <w:iCs w:val="1"/>
                <w:sz w:val="24"/>
                <w:szCs w:val="24"/>
                <w:rtl w:val="0"/>
              </w:rPr>
              <w:t xml:space="preserve">also</w:t>
            </w:r>
            <w:r w:rsidDel="00000000" w:rsidR="00000000" w:rsidRPr="00000000">
              <w:rPr>
                <w:rFonts w:ascii="Times New Roman" w:cs="Times New Roman" w:eastAsia="Times New Roman" w:hAnsi="Times New Roman"/>
                <w:sz w:val="24"/>
                <w:szCs w:val="24"/>
                <w:rtl w:val="0"/>
              </w:rPr>
              <w:t xml:space="preserve"> added a per-token KL divergence penalty between the RL policy and a supervised reference model at every decoding step, so each action incurred an immediate penalty signal.</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Dense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presented as regularization, this per-token KL term was an early, widely deployed example of stabilizing RLHF by attaching dense, stepwise signals to each token instead of using only a global sequence score. It opened the door conceptually to replacing or complementing KL with dense </w:t>
            </w:r>
            <w:r w:rsidDel="00000000" w:rsidR="00000000" w:rsidRPr="00000000">
              <w:rPr>
                <w:rFonts w:ascii="Times New Roman" w:cs="Times New Roman" w:eastAsia="Times New Roman" w:hAnsi="Times New Roman"/>
                <w:i w:val="1"/>
                <w:iCs w:val="1"/>
                <w:sz w:val="24"/>
                <w:szCs w:val="24"/>
                <w:rtl w:val="0"/>
              </w:rPr>
              <w:t xml:space="preserve">positive</w:t>
            </w:r>
            <w:r w:rsidDel="00000000" w:rsidR="00000000" w:rsidRPr="00000000">
              <w:rPr>
                <w:rFonts w:ascii="Times New Roman" w:cs="Times New Roman" w:eastAsia="Times New Roman" w:hAnsi="Times New Roman"/>
                <w:sz w:val="24"/>
                <w:szCs w:val="24"/>
                <w:rtl w:val="0"/>
              </w:rPr>
              <w:t xml:space="preserve"> rewards—distributing reward-model or process scores over the whole trajectory—which is exactly what later Dense Rewards methods do.</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290"/>
        <w:tblGridChange w:id="0">
          <w:tblGrid>
            <w:gridCol w:w="1755"/>
            <w:gridCol w:w="72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Token-level verifier value functions for math reasoning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GSM8K verifier work trained a separate “verifier” network to judge the correctness of model-generated math solutions, and specifically explored a variant that outputs a scalar prediction after every token, explicitly viewing this as a token-level value function over reasoning chains.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Dense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one of the first prominent NLP results where a model learned dense estimates of “how good things currently look” </w:t>
            </w:r>
            <w:r w:rsidDel="00000000" w:rsidR="00000000" w:rsidRPr="00000000">
              <w:rPr>
                <w:rFonts w:ascii="Times New Roman" w:cs="Times New Roman" w:eastAsia="Times New Roman" w:hAnsi="Times New Roman"/>
                <w:i w:val="1"/>
                <w:iCs w:val="1"/>
                <w:sz w:val="24"/>
                <w:szCs w:val="24"/>
                <w:rtl w:val="0"/>
              </w:rPr>
              <w:t xml:space="preserve">at each reasoning step</w:t>
            </w:r>
            <w:r w:rsidDel="00000000" w:rsidR="00000000" w:rsidRPr="00000000">
              <w:rPr>
                <w:rFonts w:ascii="Times New Roman" w:cs="Times New Roman" w:eastAsia="Times New Roman" w:hAnsi="Times New Roman"/>
                <w:sz w:val="24"/>
                <w:szCs w:val="24"/>
                <w:rtl w:val="0"/>
              </w:rPr>
              <w:t xml:space="preserve">, and where those dense estimates outperformed a single solution-level score. Later dense-reward methods for reasoning essentially move this idea from test-time reranking into training-time reward modeling, turning stepwise verifier signals into dense RL rewards.</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290"/>
        <w:tblGridChange w:id="0">
          <w:tblGrid>
            <w:gridCol w:w="1755"/>
            <w:gridCol w:w="72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Process-based feedback and reward models for stepwise math solutions</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Uesato et al. compared outcome-based and process-based feedback on math word problems, introducing process reward models (PRMs) trained on human labels for the correctness of each individual reasoning step, not just the final answer.</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Dense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reframed “the reward” as something that can be attached densely to </w:t>
            </w:r>
            <w:r w:rsidDel="00000000" w:rsidR="00000000" w:rsidRPr="00000000">
              <w:rPr>
                <w:rFonts w:ascii="Times New Roman" w:cs="Times New Roman" w:eastAsia="Times New Roman" w:hAnsi="Times New Roman"/>
                <w:i w:val="1"/>
                <w:iCs w:val="1"/>
                <w:sz w:val="24"/>
                <w:szCs w:val="24"/>
                <w:rtl w:val="0"/>
              </w:rPr>
              <w:t xml:space="preserve">every</w:t>
            </w:r>
            <w:r w:rsidDel="00000000" w:rsidR="00000000" w:rsidRPr="00000000">
              <w:rPr>
                <w:rFonts w:ascii="Times New Roman" w:cs="Times New Roman" w:eastAsia="Times New Roman" w:hAnsi="Times New Roman"/>
                <w:sz w:val="24"/>
                <w:szCs w:val="24"/>
                <w:rtl w:val="0"/>
              </w:rPr>
              <w:t xml:space="preserve"> step in a reasoning trace, and showed that such process rewards dramatically reduce trace error compared with final-answer-only supervision. It directly anticipated Dense Rewards schemes where reward models score intermediate steps or partial sequences, making dense supervision a primary design axis rather than a side-effect.</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290"/>
        <w:tblGridChange w:id="0">
          <w:tblGrid>
            <w:gridCol w:w="1755"/>
            <w:gridCol w:w="72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Q-learning with state–action values for text generation</w:t>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Guo et al. cast text generation as a soft Q-learning problem, learning a state–action value function Q(s</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for each token so that the expected future task reward could be estimated at every generation step, even when the task reward is given only at sequence end.</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Dense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external reward remained sparse, the learned Q-function acted as a dense proxy reward over tokens, illustrating that per-step value estimation can make RL for text practical under sparse feedback. This “densify via value-learning” perspective closely foreshadows later work that learns token-level reward functions or redistributes sequence-level feedback into fine-grained dense rewards for large language models.</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