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45"/>
        <w:tblGridChange w:id="0">
          <w:tblGrid>
            <w:gridCol w:w="2100"/>
            <w:gridCol w:w="69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Hessian‑guided mixed‑precision group‑wise BERT quantization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BERT quantization approach that used second‑order (Hessian) sensitivity analysis and group‑wise quantization to assign different bit‑widths (down to 2–4 bits) to weights, embeddings, and activations, achieving ultra‑low‑precision BERT with only small accuracy drops on GLUE, CoNLL, and SQuAD.</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Quantization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demonstrated that transformer language models could survive extremely low precision if bit‑widths were allocated based on curvature/sensitivity rather than uniformly, seeding later quantization work that treats mixed precision and per‑group sensitivity as core levers for efficient NLP model compression.</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005"/>
        <w:tblGridChange w:id="0">
          <w:tblGrid>
            <w:gridCol w:w="2040"/>
            <w:gridCol w:w="70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Outlier‑aware activation analysis and per‑embedding‑group transformer quantization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transformer‑specific quantization study showing that BERT has highly skewed, outlier activations (especially in residual connections) that break naïve low‑bit fixed‑point quantization, and proposing remedies like per‑embedding‑group schemes plus carefully tuned PTQ and QAT variants that set new PTQ results for BERT on GLUE.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Quantization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explicitly identifying structured outliers as the key obstacle and designing quantizers around them, it provided the conceptual and algorithmic template later reused by LLM‑focused methods (e.g., outlier‑aware W8A8 schemes and mixed‑precision matmuls) that now dominate modern quantization for large language models.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020"/>
        <w:tblGridChange w:id="0">
          <w:tblGrid>
            <w:gridCol w:w="2025"/>
            <w:gridCol w:w="70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Block‑wise dynamic quantization of optimizer states for large‑scale LM training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family of 8‑bit optimizers that store Adam‑style statistics in block‑wise dynamically quantized form, combined with a stabilized embedding layer, allowing training of large language models and other NLP systems with 8‑bit optimizer states while matching 32‑bit performance and substantially reducing memory and bandwidth.</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Quantization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broadened the quantization lens from just model weights to the entire training stack, showing that aggressively quantized internal states can remain stable and performant—an idea that later fed directly into widely used libraries (e.g., bitsandbytes) and encouraged treating “everything around the LM” as quantizable, not just its parameters.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Module‑wise reconstruction‑driven PTQ for pre‑trained language models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post‑training quantization scheme that partitions pre‑trained language models into modules and minimizes local reconstruction error for each module (MREM), enabling 4‑bit‑weight / 8‑bit‑activation BERT variants that approach full‑precision performance while dramatically reducing data requirements, training time, and memory compared to end‑to‑end QAT.</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Quantization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reframed PLM quantization as a series of independent module‑level reconstruction problems, offering a concrete, scalable PTQ recipe for large NLP models that anticipated today’s modular PTQ pipelines for LLMs, where each layer or block is quantized and validated in isolation.</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Distillation‑augmented, hardware‑aware PTQ pipelines for large Transformers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 end‑to‑end PTQ and inference pipeline for BERT/GPT‑style models that combines fine‑grained, hardware‑friendly INT8 (and even INT4) schemes for weights and activations with layer‑by‑layer knowledge distillation and fused quantization kernels, enabling efficient deployment of multi‑billion‑parameter Transformers with minimal accuracy loss.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Quantization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supplied a practical blueprint for turning abstract quantization methods into a deployable system—linking quantization design, distillation, and kernel engineering—and directly foreshadowed modern LLM quantization toolchains that couple algorithmic PTQ tricks with backend‑optimized runtimes.</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90"/>
        <w:tblGridChange w:id="0">
          <w:tblGrid>
            <w:gridCol w:w="205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Outlier‑aware mixed‑precision 8‑bit matmul for large language models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quantization strategy for Transformers that performs most matrix multiplications in INT8 but isolates a small number of “outlier” feature dimensions into higher‑precision paths, using vector‑wise scaling and a mixed‑precision decomposition so that even 175B‑parameter LMs can run with 8‑bit projections and essentially no loss in perplexity or zero‑shot accuracy.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Quantization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showed that carefully handling a tiny set of outlier dimensions is enough to make aggressive INT8 quantization viable even for very large LMs, crystallizing the now‑standard pattern where mixed precision and outlier‑aware scaling are used to reconcile low‑bit arithmetic with the brittle statistics of frontier language models.</w:t>
            </w:r>
            <w:r w:rsidDel="00000000" w:rsidR="00000000" w:rsidRPr="00000000">
              <w:rPr>
                <w:rtl w:val="0"/>
              </w:rPr>
            </w:r>
          </w:p>
        </w:tc>
      </w:tr>
    </w:tbl>
    <w:p w:rsidR="00000000" w:rsidDel="00000000" w:rsidP="00000000" w:rsidRDefault="00000000" w:rsidRPr="00000000" w14:paraId="0000003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7</w:t>
      </w:r>
    </w:p>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Activation‑to‑weight scaling transforms for W8A8 LLM post‑training quantization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training‑free PTQ method that observes activations are much harder to quantize than weights in LLMs and introduces a mathematically equivalent rescaling that “migrates” activation outlier magnitude into the corresponding weight channels, enabling fully INT8 (W8A8) quantization of all major LLM matmuls with little accuracy loss and efficient use of standard INT8 GEMM kernels.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Quantization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explicitly trading off weight and activation quantization difficulty via offline scaling, it provided a clean, LLM‑specific solution to the long‑standing problem of activation outliers, and became a conceptual precursor to many later techniques that use channel‑wise rescaling and redistribution of dynamic range to make aggressive low‑bit quantization of NLP models hardware‑friendly and accurate.</w:t>
            </w:r>
            <w:r w:rsidDel="00000000" w:rsidR="00000000" w:rsidRPr="00000000">
              <w:rPr>
                <w:rtl w:val="0"/>
              </w:rPr>
            </w:r>
          </w:p>
        </w:tc>
      </w:tr>
    </w:tbl>
    <w:p w:rsidR="00000000" w:rsidDel="00000000" w:rsidP="00000000" w:rsidRDefault="00000000" w:rsidRPr="00000000" w14:paraId="00000046">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