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Pre-padding context decoding with KV‑cached prefill</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inference strategy that processes the whole prompt in a single parallel “context pass” with left‑padding, writes keys/values into cache, and then switches to incremental decoding that reuses this cache. It was implemented in the Easy and Efficient Transformer / EnergonAI inference engine together with mask‑fused kernels and dynamic batching for long sequences.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cleanly separating a highly parallel context-processing phase from a sequential per‑token decoding phase and optimizing them with different kernels and batching schemes, it implicitly treated “prefill” and “decode” as distinct workloads. Later prefill–decode disaggregated architectures generalize this solution by pushing that separation across GPU pools and machines, rather than just at the kernel level.</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Iteration-level scheduling for initiation vs increment phases in generative serving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ORCA serving system for GPT-style models split inference into an initiation phase (first iteration over the full prompt) and an increment phase (subsequent iterations that process one new token), then introduced iteration-level scheduling that re-batches requests every iteration and returns early-finished sequences immediately.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ORCA’s initiation vs increment split is essentially prefill vs decode, and its scheduler already treats them as different shapes with different batching opportunities and latency implications. This was an early concrete solution showing that serving stacks should reason about these phases separately, paving the way for systems that physically disaggregate prefill and decode onto different hardware to avoid interference between them.</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pipeline micro-batching for prompt processing vs token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DeepSpeed-Inference analyzes transformer inference at different batch sizes and, in its pipeline-parallel design, uses different micro-batch counts for prompt processing and for token generation, so that prompt passes can run with large batches while decoding stays latency-friendly, combined with fused kernels and CUDA-graph capture tuned to the tiny-batch auto-regressive loop.</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explicitly treats prompt processing and decoding as two phases with distinct optimal parallelism and latency/throughput trade-offs, and assigns them different pipeline schedules and batch configurations. Prefill–decode-disaggregated systems later adopt the same idea at cluster scale, giving each phase its own resource pool and parallelization strategy instead of forcing a single compromise configuration.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75"/>
        <w:tblGridChange w:id="0">
          <w:tblGrid>
            <w:gridCol w:w="2370"/>
            <w:gridCol w:w="66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Two-phase throughput and partitioning models for prefill vs decode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Efficiently Scaling Transformer Inference</w:t>
            </w:r>
            <w:r w:rsidDel="00000000" w:rsidR="00000000" w:rsidRPr="00000000">
              <w:rPr>
                <w:rFonts w:ascii="Times New Roman" w:cs="Times New Roman" w:eastAsia="Times New Roman" w:hAnsi="Times New Roman"/>
                <w:sz w:val="24"/>
                <w:szCs w:val="24"/>
                <w:rtl w:val="0"/>
              </w:rPr>
              <w:t xml:space="preserve"> builds analytic models that separately characterize throughput and communication for prefill (large-batch processing of many input tokens) and decode (auto-regressive generation), and chooses different tensor-partition layouts for each (e.g., weight-gathered layouts during prefill, weight-stationary layouts during decoding; batch-sharded multi-query attention for decode but head-sharded for prefill).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framing hardware partitioning as a two-regime optimization problem—compute-heavy, token-parallel prefill vs KV-cache–dominated, latency-sensitive decode—it provided a concrete recipe for giving each phase a different parallel layout. Modern prefill–decode disaggregated architectures directly inherit this mindset, but push it further by assigning distinct devices and parallelization plans to each phase in the serving stack.</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Dynamic-batch serving for variable-length generative requests on GPUs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TurboTransformers and similar early serving systems introduced GPU runtimes with dynamic-programming–based batch schedulers and custom memory allocators to efficiently handle variable-length sequences for transformer text generation, improving throughput and memory use compared to naïve fixed-batch serving.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systems recognized that generative transformer inference is an evolving set of sequences that grow and finish at different times, requiring continual re-batching and careful memory management. Prefill–decode disaggregated architectures build directly on this insight, separating the relatively uniform, batch-friendly prefill workload from the highly variable decode workload so each can use its own batching and placement strategy across GPUs.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