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45"/>
        <w:tblGridChange w:id="0">
          <w:tblGrid>
            <w:gridCol w:w="1800"/>
            <w:gridCol w:w="72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Heterogeneous optimizer offload that uses CPU compute alongside GPU for large transformer training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ZeRO-Offload framed large‑scale Transformer </w:t>
            </w:r>
            <w:r w:rsidDel="00000000" w:rsidR="00000000" w:rsidRPr="00000000">
              <w:rPr>
                <w:rFonts w:ascii="Times New Roman" w:cs="Times New Roman" w:eastAsia="Times New Roman" w:hAnsi="Times New Roman"/>
                <w:i w:val="1"/>
                <w:iCs w:val="1"/>
                <w:sz w:val="24"/>
                <w:szCs w:val="24"/>
                <w:rtl w:val="0"/>
              </w:rPr>
              <w:t xml:space="preserve">training</w:t>
            </w:r>
            <w:r w:rsidDel="00000000" w:rsidR="00000000" w:rsidRPr="00000000">
              <w:rPr>
                <w:rFonts w:ascii="Times New Roman" w:cs="Times New Roman" w:eastAsia="Times New Roman" w:hAnsi="Times New Roman"/>
                <w:sz w:val="24"/>
                <w:szCs w:val="24"/>
                <w:rtl w:val="0"/>
              </w:rPr>
              <w:t xml:space="preserve"> as a data‑flow graph and split it across GPU and CPU: forward/backward and parameters stayed on GPU, while gradients, optimizer states, and the </w:t>
            </w:r>
            <w:r w:rsidDel="00000000" w:rsidR="00000000" w:rsidRPr="00000000">
              <w:rPr>
                <w:rFonts w:ascii="Times New Roman" w:cs="Times New Roman" w:eastAsia="Times New Roman" w:hAnsi="Times New Roman"/>
                <w:i w:val="1"/>
                <w:iCs w:val="1"/>
                <w:sz w:val="24"/>
                <w:szCs w:val="24"/>
                <w:rtl w:val="0"/>
              </w:rPr>
              <w:t xml:space="preserve">optimizer computation itself</w:t>
            </w:r>
            <w:r w:rsidDel="00000000" w:rsidR="00000000" w:rsidRPr="00000000">
              <w:rPr>
                <w:rFonts w:ascii="Times New Roman" w:cs="Times New Roman" w:eastAsia="Times New Roman" w:hAnsi="Times New Roman"/>
                <w:sz w:val="24"/>
                <w:szCs w:val="24"/>
                <w:rtl w:val="0"/>
              </w:rPr>
              <w:t xml:space="preserve"> were offloaded to CPU, with one‑step delayed updates to overlap CPU work with GPU compute. This design exploited both CPU memory and CPU FLOPs to train 10× larger Transformer models on a single GPU while maintaining near‑baseline throughput.</w:t>
            </w:r>
            <w:r w:rsidDel="00000000" w:rsidR="00000000" w:rsidRPr="00000000">
              <w:rPr>
                <w:rtl w:val="0"/>
              </w:rPr>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GPU-CPU Parallel Inference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ZeRO-Offload was an early, concrete blueprint for </w:t>
            </w:r>
            <w:r w:rsidDel="00000000" w:rsidR="00000000" w:rsidRPr="00000000">
              <w:rPr>
                <w:rFonts w:ascii="Times New Roman" w:cs="Times New Roman" w:eastAsia="Times New Roman" w:hAnsi="Times New Roman"/>
                <w:i w:val="1"/>
                <w:iCs w:val="1"/>
                <w:sz w:val="24"/>
                <w:szCs w:val="24"/>
                <w:rtl w:val="0"/>
              </w:rPr>
              <w:t xml:space="preserve">division of labor</w:t>
            </w:r>
            <w:r w:rsidDel="00000000" w:rsidR="00000000" w:rsidRPr="00000000">
              <w:rPr>
                <w:rFonts w:ascii="Times New Roman" w:cs="Times New Roman" w:eastAsia="Times New Roman" w:hAnsi="Times New Roman"/>
                <w:sz w:val="24"/>
                <w:szCs w:val="24"/>
                <w:rtl w:val="0"/>
              </w:rPr>
              <w:t xml:space="preserve"> between GPU and CPU: GPU handles high‑intensity matmuls; CPU takes slower but memory‑heavy, latency‑tolerant tasks, with careful overlap of compute and communication. Later GPU‑CPU parallel inference systems for LLMs reuse this exact pattern—moving specific sub-tasks (e.g., parts of attention or optimizer‑like postprocessing) onto CPU while the GPU continues decoding—so ZeRO-Offload is a clear solution‑space forerunner even though it targeted training rather than inference.</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65"/>
        <w:tblGridChange w:id="0">
          <w:tblGrid>
            <w:gridCol w:w="1680"/>
            <w:gridCol w:w="73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Multi-tier CPU/NVMe–backed transformer inference with asynchronous layer streaming</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DeepSpeed Inference introduced a </w:t>
            </w:r>
            <w:r w:rsidDel="00000000" w:rsidR="00000000" w:rsidRPr="00000000">
              <w:rPr>
                <w:rFonts w:ascii="Times New Roman" w:cs="Times New Roman" w:eastAsia="Times New Roman" w:hAnsi="Times New Roman"/>
                <w:i w:val="1"/>
                <w:iCs w:val="1"/>
                <w:sz w:val="24"/>
                <w:szCs w:val="24"/>
                <w:rtl w:val="0"/>
              </w:rPr>
              <w:t xml:space="preserve">heterogeneous inference</w:t>
            </w:r>
            <w:r w:rsidDel="00000000" w:rsidR="00000000" w:rsidRPr="00000000">
              <w:rPr>
                <w:rFonts w:ascii="Times New Roman" w:cs="Times New Roman" w:eastAsia="Times New Roman" w:hAnsi="Times New Roman"/>
                <w:sz w:val="24"/>
                <w:szCs w:val="24"/>
                <w:rtl w:val="0"/>
              </w:rPr>
              <w:t xml:space="preserve"> mode where Transformer models are served using GPU memory plus CPU DRAM and NVMe: model weights are pinned in host DRAM or storage and streamed layer‑by‑layer into GPU memory, while some activations are offloaded from GPU to CPU when not in use. ZeRO‑Inference extends this by enabling inference of models that exceed GPU memory by leveraging CPU DRAM and NVMe as additional tiers, trading higher latency for much lower GPU memory usage.</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GPU-CPU Parallel Inference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systems made CPU and NVMe first‑class participants in the inference pipeline: they run continuous, overlapping threads for GPU compute, CPU‑side memory management, and I/O, instead of treating the GPU as a monolithic black box. That heterogeneous design—streaming tensors through CPU while the GPU keeps computing—directly anticipates GPU‑CPU parallel inference architectures where CPU is upgraded from “just memory” to an </w:t>
            </w:r>
            <w:r w:rsidDel="00000000" w:rsidR="00000000" w:rsidRPr="00000000">
              <w:rPr>
                <w:rFonts w:ascii="Times New Roman" w:cs="Times New Roman" w:eastAsia="Times New Roman" w:hAnsi="Times New Roman"/>
                <w:i w:val="1"/>
                <w:iCs w:val="1"/>
                <w:sz w:val="24"/>
                <w:szCs w:val="24"/>
                <w:rtl w:val="0"/>
              </w:rPr>
              <w:t xml:space="preserve">active executor</w:t>
            </w:r>
            <w:r w:rsidDel="00000000" w:rsidR="00000000" w:rsidRPr="00000000">
              <w:rPr>
                <w:rFonts w:ascii="Times New Roman" w:cs="Times New Roman" w:eastAsia="Times New Roman" w:hAnsi="Times New Roman"/>
                <w:sz w:val="24"/>
                <w:szCs w:val="24"/>
                <w:rtl w:val="0"/>
              </w:rPr>
              <w:t xml:space="preserve"> of certain layers or attention blocks alongside the GPU.</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75"/>
        <w:tblGridChange w:id="0">
          <w:tblGrid>
            <w:gridCol w:w="1770"/>
            <w:gridCol w:w="72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Layer-wise CPU–GPU co-execution and scheduling for deep learning inference</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CoDL (MobiSys 2022) studied how to </w:t>
            </w:r>
            <w:r w:rsidDel="00000000" w:rsidR="00000000" w:rsidRPr="00000000">
              <w:rPr>
                <w:rFonts w:ascii="Times New Roman" w:cs="Times New Roman" w:eastAsia="Times New Roman" w:hAnsi="Times New Roman"/>
                <w:i w:val="1"/>
                <w:iCs w:val="1"/>
                <w:sz w:val="24"/>
                <w:szCs w:val="24"/>
                <w:rtl w:val="0"/>
              </w:rPr>
              <w:t xml:space="preserve">co-execute</w:t>
            </w:r>
            <w:r w:rsidDel="00000000" w:rsidR="00000000" w:rsidRPr="00000000">
              <w:rPr>
                <w:rFonts w:ascii="Times New Roman" w:cs="Times New Roman" w:eastAsia="Times New Roman" w:hAnsi="Times New Roman"/>
                <w:sz w:val="24"/>
                <w:szCs w:val="24"/>
                <w:rtl w:val="0"/>
              </w:rPr>
              <w:t xml:space="preserve"> individual operators across CPU and GPU on mobile devices: it partitions each layer between CPU and GPU, models data‑sharing overheads, and uses a latency predictor plus “operator chains” to decide when concurrent execution actually beats single‑device execution. The framework coordinates CPU and GPU to run chains of operators concurrently, achieving up to ~3.4× speedup and large energy savings over prior co‑execution schemes.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GPU-CPU Parallel Inference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Although CoDL focused mostly on CNN workloads, it delivered the key algorithmic pattern later reused in GPU‑CPU LLM inference: fine‑grained layer partitioning across CPU/GPU, explicit modeling of transfer/synchronization costs, and an execution planner that only co-runs layers when the benefit outweighs overhead. Modern GPU‑CPU parallel inference for Transformers applies the same idea—split attention/FFN work across devices and orchestrate them via a scheduler—so CoDL is an early solution‑space template for that design.</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High-performance Transformer inference kernels and runtimes on CPUs</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TurboTransformers (2020) built a specialized serving runtime for Transformer NLP models (BERT, GPT‑2, etc.) with fused GPU kernels, dynamic batching and sequence‑length‑aware memory allocation, but also support for non‑GPU backends. In 2021, “Optimizing Inference Performance of Transformers on CPUs” extended PyTorch/oneDNN integration with custom kernels for attention, feed‑forward, layer norm and softmax in BERT, turning multi‑core CPUs into competitive Transformer inference engines without sacrificing accuracy.</w:t>
            </w:r>
            <w:r w:rsidDel="00000000" w:rsidR="00000000" w:rsidRPr="00000000">
              <w:rPr>
                <w:rtl w:val="0"/>
              </w:rPr>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GPU-CPU Parallel Inference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works quietly reframed CPUs from “slow fallbacks” into viable Transformer accelerators by dissecting where time is spent in BERT and providing highly tuned CPU kernels and runtimes. GPU‑CPU parallel inference for LLMs only becomes attractive once CPU can execute meaningful portions of the forward pass (e.g., parts of attention or MLP blocks) without catastrophic slowdown, and these early CPU‑centric Transformer optimizations supplied exactly that capability, making later CPU‑assisted, hybrid inference pipelines technically plausible.</w:t>
            </w:r>
            <w:r w:rsidDel="00000000" w:rsidR="00000000" w:rsidRPr="00000000">
              <w:rPr>
                <w:rtl w:val="0"/>
              </w:rPr>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