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95"/>
        <w:tblGridChange w:id="0">
          <w:tblGrid>
            <w:gridCol w:w="1950"/>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Causal mediation paths for attention heads and neurons in Transformers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methodology that treats internal components (specific neurons and attention heads) as mediators in a causal graph and measures how much each one </w:t>
            </w:r>
            <w:r w:rsidDel="00000000" w:rsidR="00000000" w:rsidRPr="00000000">
              <w:rPr>
                <w:rFonts w:ascii="Times New Roman" w:cs="Times New Roman" w:eastAsia="Times New Roman" w:hAnsi="Times New Roman"/>
                <w:i w:val="1"/>
                <w:iCs w:val="1"/>
                <w:sz w:val="24"/>
                <w:szCs w:val="24"/>
                <w:rtl w:val="0"/>
              </w:rPr>
              <w:t xml:space="preserve">causally</w:t>
            </w:r>
            <w:r w:rsidDel="00000000" w:rsidR="00000000" w:rsidRPr="00000000">
              <w:rPr>
                <w:rFonts w:ascii="Times New Roman" w:cs="Times New Roman" w:eastAsia="Times New Roman" w:hAnsi="Times New Roman"/>
                <w:sz w:val="24"/>
                <w:szCs w:val="24"/>
                <w:rtl w:val="0"/>
              </w:rPr>
              <w:t xml:space="preserve"> contributes to an output behavior—applied to gender bias in GPT‑style LMs, revealing that bias is concentrated in a sparse set of components.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Attention and MLP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shifted analysis from “what information is encoded” to “which heads/neurons actually </w:t>
            </w:r>
            <w:r w:rsidDel="00000000" w:rsidR="00000000" w:rsidRPr="00000000">
              <w:rPr>
                <w:rFonts w:ascii="Times New Roman" w:cs="Times New Roman" w:eastAsia="Times New Roman" w:hAnsi="Times New Roman"/>
                <w:i w:val="1"/>
                <w:iCs w:val="1"/>
                <w:sz w:val="24"/>
                <w:szCs w:val="24"/>
                <w:rtl w:val="0"/>
              </w:rPr>
              <w:t xml:space="preserve">drive</w:t>
            </w:r>
            <w:r w:rsidDel="00000000" w:rsidR="00000000" w:rsidRPr="00000000">
              <w:rPr>
                <w:rFonts w:ascii="Times New Roman" w:cs="Times New Roman" w:eastAsia="Times New Roman" w:hAnsi="Times New Roman"/>
                <w:sz w:val="24"/>
                <w:szCs w:val="24"/>
                <w:rtl w:val="0"/>
              </w:rPr>
              <w:t xml:space="preserve"> a behavior,” providing a concrete causal toolkit for attributing functions to internal units—exactly the kind of method later generalized to broad attention‑head and MLP‑neuron analysis beyond bias.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185"/>
        <w:tblGridChange w:id="0">
          <w:tblGrid>
            <w:gridCol w:w="1860"/>
            <w:gridCol w:w="71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Residual‑stream circuit formalism for attention and MLP layers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mathematical view of transformers that treats the residual stream as the central vector space and models attention heads and MLP layers as linear “write” operations into that space, decomposed into QK and OV circuits and other motifs, demonstrated on toy transformer language models.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Attention and MLP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rephrasing attention and MLPs as composable circuits operating over a shared residual space, it gave researchers a vocabulary and algebraic toolkit for dissecting specific heads and neurons into mechanisms—foundational for later systematic attention‑head/MLP‑circuit analyses and mechanistic interpretability work.</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945"/>
        <w:tblGridChange w:id="0">
          <w:tblGrid>
            <w:gridCol w:w="2100"/>
            <w:gridCol w:w="69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Gradient-based knowledge neuron attribution and editing in transformers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framework that defines “knowledge neurons” in pretrained transformers by using gradient‑style attribution on cloze prompts to locate neurons whose activations encode particular factual triples, then intervening on those neurons (amplifying, suppressing, or modifying them) to update or erase specific facts.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Attention and MLP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showed that you can localize semantic functions to small sets of MLP/attention units and </w:t>
            </w:r>
            <w:r w:rsidDel="00000000" w:rsidR="00000000" w:rsidRPr="00000000">
              <w:rPr>
                <w:rFonts w:ascii="Times New Roman" w:cs="Times New Roman" w:eastAsia="Times New Roman" w:hAnsi="Times New Roman"/>
                <w:i w:val="1"/>
                <w:iCs w:val="1"/>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their role via direct interventions, seeding today’s broader practice of analyzing and editing attention/MLP units as carriers of interpretable features (knowledge, bias, safety‑relevant behavior, etc.).</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65"/>
        <w:tblGridChange w:id="0">
          <w:tblGrid>
            <w:gridCol w:w="1980"/>
            <w:gridCol w:w="70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Monosemanticity-oriented MLP activations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line of work that replaces GELU with Softmax Linear Units (SoLU) in transformer MLPs and systematically evaluates neuron interpretability, finding that SoLU roughly doubles the fraction of neurons with clear human‑understandable concepts while preserving LM performance.</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Attention and MLP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Instead of only </w:t>
            </w:r>
            <w:r w:rsidDel="00000000" w:rsidR="00000000" w:rsidRPr="00000000">
              <w:rPr>
                <w:rFonts w:ascii="Times New Roman" w:cs="Times New Roman" w:eastAsia="Times New Roman" w:hAnsi="Times New Roman"/>
                <w:i w:val="1"/>
                <w:iCs w:val="1"/>
                <w:sz w:val="24"/>
                <w:szCs w:val="24"/>
                <w:rtl w:val="0"/>
              </w:rPr>
              <w:t xml:space="preserve">analyzing</w:t>
            </w:r>
            <w:r w:rsidDel="00000000" w:rsidR="00000000" w:rsidRPr="00000000">
              <w:rPr>
                <w:rFonts w:ascii="Times New Roman" w:cs="Times New Roman" w:eastAsia="Times New Roman" w:hAnsi="Times New Roman"/>
                <w:sz w:val="24"/>
                <w:szCs w:val="24"/>
                <w:rtl w:val="0"/>
              </w:rPr>
              <w:t xml:space="preserve"> existing neurons, it proposed a concrete architectural tweak that directly improves neuron interpretability, turning “how do we analyze MLP neurons?” into “how do we design them to be analyzable?”—a key step toward today’s MLP‑focused interpretability and feature‑based analysis methods.</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15"/>
        <w:tblGridChange w:id="0">
          <w:tblGrid>
            <w:gridCol w:w="1830"/>
            <w:gridCol w:w="72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Toy superposition models of polysemantic MLP neurons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set of toy ReLU networks trained on synthetic sparse features to study “superposition,” showing how many unrelated features can be packed into fewer neuron dimensions, producing polysemantic neurons and phase transitions between disentangled and superposed regimes.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Attention and MLP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provided a concrete mechanistic explanation for why MLP neurons are often messy and multi‑concept, clarifying when neuron‑level analysis is reliable and when features are distributed, which strongly shaped later attention/MLP analysis techniques (e.g., moving from single neurons to directions, sparse AEs, or feature circuits).</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80"/>
        <w:tblGridChange w:id="0">
          <w:tblGrid>
            <w:gridCol w:w="1965"/>
            <w:gridCol w:w="70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Induction-head circuit dissection for in‑context learning</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Cardo" w:cs="Cardo" w:eastAsia="Cardo" w:hAnsi="Cardo"/>
                <w:sz w:val="24"/>
                <w:szCs w:val="24"/>
                <w:rtl w:val="0"/>
              </w:rPr>
              <w:t xml:space="preserve">A mechanistic study that identifies “induction heads”—pairs of attention heads implementing a match‑and‑copy algorithm [A][B]…[A]→[B]—and correlates their emergence with phase changes in in‑context learning performance across transformer scales.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Attention and MLP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treated a specific, interpretable family of attention heads as a concrete circuit with causal influence on behavior, showcasing a full pipeline of discovering, characterizing, and validating head‑level mechanisms—an explicit recipe that later attention‑and‑MLP analysis work reused for many other behaviors and circuits.</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